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Times New Roman" w:cs="Times New Roman" w:eastAsia="Times New Roman" w:hAnsi="Times New Roman"/>
          <w:sz w:val="17"/>
          <w:szCs w:val="17"/>
          <w:color w:val="auto"/>
        </w:rPr>
        <w:t>UNITED STATES</w:t>
      </w:r>
    </w:p>
    <w:p>
      <w:pPr>
        <w:spacing w:after="0" w:line="2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3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(Mark One)</w:t>
      </w:r>
    </w:p>
    <w:p>
      <w:pPr>
        <w:spacing w:after="0" w:line="31" w:lineRule="exact"/>
        <w:rPr>
          <w:sz w:val="24"/>
          <w:szCs w:val="24"/>
          <w:color w:val="auto"/>
        </w:rPr>
      </w:pPr>
    </w:p>
    <w:p>
      <w:pPr>
        <w:ind w:left="920" w:hanging="401"/>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ANNUAL REPORT PURSUANT TO SECTION 13 OR 15(d) OF THE SECURITIES EXCHANGE ACT OF 1934</w:t>
      </w:r>
    </w:p>
    <w:p>
      <w:pPr>
        <w:spacing w:after="0" w:line="137"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auto"/>
        </w:rPr>
        <w:t>For the fiscal year ended December 31, 2025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31" w:lineRule="exact"/>
        <w:rPr>
          <w:sz w:val="24"/>
          <w:szCs w:val="24"/>
          <w:color w:val="auto"/>
        </w:rPr>
      </w:pPr>
    </w:p>
    <w:p>
      <w:pPr>
        <w:ind w:left="1080" w:right="1340" w:firstLine="182"/>
        <w:spacing w:after="0" w:line="425" w:lineRule="auto"/>
        <w:tabs>
          <w:tab w:leader="none" w:pos="166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 For the transition period from _________________________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3493135</wp:posOffset>
            </wp:positionH>
            <wp:positionV relativeFrom="paragraph">
              <wp:posOffset>-119380</wp:posOffset>
            </wp:positionV>
            <wp:extent cx="1788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8160" cy="8255"/>
                    </a:xfrm>
                    <a:prstGeom prst="rect">
                      <a:avLst/>
                    </a:prstGeom>
                    <a:noFill/>
                  </pic:spPr>
                </pic:pic>
              </a:graphicData>
            </a:graphic>
          </wp:anchor>
        </w:drawing>
      </w:r>
    </w:p>
    <w:p>
      <w:pPr>
        <w:spacing w:after="0" w:line="31" w:lineRule="exact"/>
        <w:rPr>
          <w:sz w:val="24"/>
          <w:szCs w:val="24"/>
          <w:color w:val="auto"/>
        </w:rPr>
      </w:pPr>
    </w:p>
    <w:tbl>
      <w:tblPr>
        <w:tblLayout w:type="fixed"/>
        <w:tblInd w:w="1880" w:type="dxa"/>
        <w:tblCellMar>
          <w:top w:w="0" w:type="dxa"/>
          <w:left w:w="0" w:type="dxa"/>
          <w:bottom w:w="0" w:type="dxa"/>
          <w:right w:w="0" w:type="dxa"/>
        </w:tblCellMar>
      </w:tblPr>
      <w:tr>
        <w:trPr>
          <w:trHeight w:val="195"/>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gridSpan w:val="10"/>
          </w:tcPr>
          <w:p>
            <w:pPr>
              <w:jc w:val="center"/>
              <w:ind w:right="1200"/>
              <w:spacing w:after="0"/>
              <w:rPr>
                <w:sz w:val="20"/>
                <w:szCs w:val="20"/>
                <w:color w:val="auto"/>
              </w:rPr>
            </w:pPr>
            <w:r>
              <w:rPr>
                <w:rFonts w:ascii="Times New Roman" w:cs="Times New Roman" w:eastAsia="Times New Roman" w:hAnsi="Times New Roman"/>
                <w:sz w:val="17"/>
                <w:szCs w:val="17"/>
                <w:color w:val="auto"/>
              </w:rPr>
              <w:t>Commission file number: 001-36246</w:t>
            </w: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7"/>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60" w:type="dxa"/>
            <w:vAlign w:val="bottom"/>
            <w:gridSpan w:val="4"/>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w w:val="99"/>
              </w:rPr>
              <w:t>Civeo Corporation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4360" w:type="dxa"/>
            <w:vAlign w:val="bottom"/>
            <w:gridSpan w:val="7"/>
          </w:tcPr>
          <w:p>
            <w:pPr>
              <w:jc w:val="center"/>
              <w:ind w:left="3195"/>
              <w:spacing w:after="0"/>
              <w:rPr>
                <w:sz w:val="20"/>
                <w:szCs w:val="20"/>
                <w:color w:val="auto"/>
              </w:rPr>
            </w:pPr>
            <w:r>
              <w:rPr>
                <w:rFonts w:ascii="Times New Roman" w:cs="Times New Roman" w:eastAsia="Times New Roman" w:hAnsi="Times New Roman"/>
                <w:sz w:val="17"/>
                <w:szCs w:val="17"/>
                <w:color w:val="auto"/>
              </w:rPr>
              <w:t>____________</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5"/>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gridSpan w:val="12"/>
          </w:tcPr>
          <w:p>
            <w:pPr>
              <w:jc w:val="center"/>
              <w:ind w:left="95"/>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r>
      <w:tr>
        <w:trPr>
          <w:trHeight w:val="294"/>
        </w:trPr>
        <w:tc>
          <w:tcPr>
            <w:tcW w:w="760" w:type="dxa"/>
            <w:vAlign w:val="bottom"/>
          </w:tcPr>
          <w:p>
            <w:pPr>
              <w:spacing w:after="0"/>
              <w:rPr>
                <w:sz w:val="24"/>
                <w:szCs w:val="24"/>
                <w:color w:val="auto"/>
              </w:rPr>
            </w:pPr>
          </w:p>
        </w:tc>
        <w:tc>
          <w:tcPr>
            <w:tcW w:w="4040" w:type="dxa"/>
            <w:vAlign w:val="bottom"/>
            <w:gridSpan w:val="7"/>
          </w:tcPr>
          <w:p>
            <w:pPr>
              <w:jc w:val="center"/>
              <w:ind w:right="2260"/>
              <w:spacing w:after="0"/>
              <w:rPr>
                <w:sz w:val="20"/>
                <w:szCs w:val="20"/>
                <w:color w:val="auto"/>
              </w:rPr>
            </w:pPr>
            <w:r>
              <w:rPr>
                <w:rFonts w:ascii="Times New Roman" w:cs="Times New Roman" w:eastAsia="Times New Roman" w:hAnsi="Times New Roman"/>
                <w:sz w:val="17"/>
                <w:szCs w:val="17"/>
                <w:color w:val="auto"/>
              </w:rPr>
              <w:t>British Columbia, Canada</w:t>
            </w:r>
          </w:p>
        </w:tc>
        <w:tc>
          <w:tcPr>
            <w:tcW w:w="154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98-1253716</w:t>
            </w:r>
          </w:p>
        </w:tc>
      </w:tr>
      <w:tr>
        <w:trPr>
          <w:trHeight w:val="20"/>
        </w:trPr>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2"/>
        </w:trPr>
        <w:tc>
          <w:tcPr>
            <w:tcW w:w="4800" w:type="dxa"/>
            <w:vAlign w:val="bottom"/>
            <w:gridSpan w:val="8"/>
          </w:tcPr>
          <w:p>
            <w:pPr>
              <w:jc w:val="center"/>
              <w:ind w:right="1500"/>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300" w:type="dxa"/>
            <w:vAlign w:val="bottom"/>
          </w:tcPr>
          <w:p>
            <w:pPr>
              <w:spacing w:after="0"/>
              <w:rPr>
                <w:sz w:val="20"/>
                <w:szCs w:val="20"/>
                <w:color w:val="auto"/>
              </w:rPr>
            </w:pPr>
          </w:p>
        </w:tc>
        <w:tc>
          <w:tcPr>
            <w:tcW w:w="1240" w:type="dxa"/>
            <w:vAlign w:val="bottom"/>
            <w:gridSpan w:val="5"/>
          </w:tcPr>
          <w:p>
            <w:pPr>
              <w:jc w:val="center"/>
              <w:ind w:right="40"/>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4800" w:type="dxa"/>
            <w:vAlign w:val="bottom"/>
            <w:gridSpan w:val="8"/>
          </w:tcPr>
          <w:p>
            <w:pPr>
              <w:jc w:val="center"/>
              <w:ind w:right="150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1540" w:type="dxa"/>
            <w:vAlign w:val="bottom"/>
            <w:gridSpan w:val="6"/>
          </w:tcPr>
          <w:p>
            <w:pPr>
              <w:jc w:val="center"/>
              <w:ind w:left="17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31"/>
        </w:trPr>
        <w:tc>
          <w:tcPr>
            <w:tcW w:w="4800" w:type="dxa"/>
            <w:vAlign w:val="bottom"/>
            <w:gridSpan w:val="8"/>
          </w:tcPr>
          <w:p>
            <w:pPr>
              <w:jc w:val="center"/>
              <w:ind w:right="1480"/>
              <w:spacing w:after="0"/>
              <w:rPr>
                <w:sz w:val="20"/>
                <w:szCs w:val="20"/>
                <w:color w:val="auto"/>
              </w:rPr>
            </w:pPr>
            <w:r>
              <w:rPr>
                <w:rFonts w:ascii="Times New Roman" w:cs="Times New Roman" w:eastAsia="Times New Roman" w:hAnsi="Times New Roman"/>
                <w:sz w:val="17"/>
                <w:szCs w:val="17"/>
                <w:color w:val="auto"/>
              </w:rPr>
              <w:t>Three Allen Center, 333 Clay Street, Suite 4400,</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80" w:type="dxa"/>
            <w:vAlign w:val="bottom"/>
            <w:gridSpan w:val="6"/>
          </w:tcPr>
          <w:p>
            <w:pPr>
              <w:jc w:val="center"/>
              <w:ind w:right="2620"/>
              <w:spacing w:after="0" w:line="183" w:lineRule="exact"/>
              <w:rPr>
                <w:sz w:val="20"/>
                <w:szCs w:val="20"/>
                <w:color w:val="auto"/>
              </w:rPr>
            </w:pPr>
            <w:r>
              <w:rPr>
                <w:rFonts w:ascii="Times New Roman" w:cs="Times New Roman" w:eastAsia="Times New Roman" w:hAnsi="Times New Roman"/>
                <w:sz w:val="17"/>
                <w:szCs w:val="17"/>
                <w:color w:val="auto"/>
                <w:w w:val="99"/>
              </w:rPr>
              <w:t>Houston, Texas</w:t>
            </w:r>
          </w:p>
        </w:tc>
        <w:tc>
          <w:tcPr>
            <w:tcW w:w="1320" w:type="dxa"/>
            <w:vAlign w:val="bottom"/>
            <w:gridSpan w:val="5"/>
          </w:tcPr>
          <w:p>
            <w:pPr>
              <w:jc w:val="right"/>
              <w:ind w:right="200"/>
              <w:spacing w:after="0" w:line="183" w:lineRule="exact"/>
              <w:rPr>
                <w:sz w:val="20"/>
                <w:szCs w:val="20"/>
                <w:color w:val="auto"/>
              </w:rPr>
            </w:pPr>
            <w:r>
              <w:rPr>
                <w:rFonts w:ascii="Times New Roman" w:cs="Times New Roman" w:eastAsia="Times New Roman" w:hAnsi="Times New Roman"/>
                <w:sz w:val="17"/>
                <w:szCs w:val="17"/>
                <w:color w:val="auto"/>
              </w:rPr>
              <w:t>77002</w:t>
            </w:r>
          </w:p>
        </w:tc>
        <w:tc>
          <w:tcPr>
            <w:tcW w:w="22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37"/>
        </w:trPr>
        <w:tc>
          <w:tcPr>
            <w:tcW w:w="4800" w:type="dxa"/>
            <w:vAlign w:val="bottom"/>
            <w:gridSpan w:val="8"/>
          </w:tcPr>
          <w:p>
            <w:pPr>
              <w:jc w:val="center"/>
              <w:ind w:right="148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color w:val="auto"/>
              </w:rPr>
              <w:t>(Zip Code)</w:t>
            </w:r>
          </w:p>
        </w:tc>
      </w:tr>
      <w:tr>
        <w:trPr>
          <w:trHeight w:val="294"/>
        </w:trPr>
        <w:tc>
          <w:tcPr>
            <w:tcW w:w="3260" w:type="dxa"/>
            <w:vAlign w:val="bottom"/>
            <w:gridSpan w:val="5"/>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713 510-2400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87"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92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04"/>
        </w:trPr>
        <w:tc>
          <w:tcPr>
            <w:tcW w:w="3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520" w:type="dxa"/>
            <w:vAlign w:val="bottom"/>
          </w:tcPr>
          <w:p>
            <w:pPr>
              <w:spacing w:after="0"/>
              <w:rPr>
                <w:sz w:val="17"/>
                <w:szCs w:val="17"/>
                <w:color w:val="auto"/>
              </w:rPr>
            </w:pPr>
          </w:p>
        </w:tc>
        <w:tc>
          <w:tcPr>
            <w:tcW w:w="3420" w:type="dxa"/>
            <w:vAlign w:val="bottom"/>
            <w:gridSpan w:val="3"/>
          </w:tcPr>
          <w:p>
            <w:pPr>
              <w:jc w:val="center"/>
              <w:ind w:left="615"/>
              <w:spacing w:after="0"/>
              <w:rPr>
                <w:sz w:val="20"/>
                <w:szCs w:val="20"/>
                <w:color w:val="auto"/>
              </w:rPr>
            </w:pPr>
            <w:r>
              <w:rPr>
                <w:rFonts w:ascii="Times New Roman" w:cs="Times New Roman" w:eastAsia="Times New Roman" w:hAnsi="Times New Roman"/>
                <w:sz w:val="17"/>
                <w:szCs w:val="17"/>
                <w:color w:val="auto"/>
                <w:w w:val="99"/>
              </w:rPr>
              <w:t>Trading Symbol(s)</w:t>
            </w:r>
          </w:p>
        </w:tc>
        <w:tc>
          <w:tcPr>
            <w:tcW w:w="3500" w:type="dxa"/>
            <w:vAlign w:val="bottom"/>
            <w:gridSpan w:val="2"/>
          </w:tcPr>
          <w:p>
            <w:pPr>
              <w:jc w:val="center"/>
              <w:ind w:left="615"/>
              <w:spacing w:after="0"/>
              <w:rPr>
                <w:sz w:val="20"/>
                <w:szCs w:val="20"/>
                <w:color w:val="auto"/>
              </w:rPr>
            </w:pPr>
            <w:r>
              <w:rPr>
                <w:rFonts w:ascii="Times New Roman" w:cs="Times New Roman" w:eastAsia="Times New Roman" w:hAnsi="Times New Roman"/>
                <w:sz w:val="17"/>
                <w:szCs w:val="17"/>
                <w:color w:val="auto"/>
              </w:rPr>
              <w:t>Name of Exchange on Which Registered</w:t>
            </w:r>
          </w:p>
        </w:tc>
      </w:tr>
      <w:tr>
        <w:trPr>
          <w:trHeight w:val="20"/>
        </w:trPr>
        <w:tc>
          <w:tcPr>
            <w:tcW w:w="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220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Common Shares, no par value</w:t>
            </w:r>
          </w:p>
        </w:tc>
        <w:tc>
          <w:tcPr>
            <w:tcW w:w="1420" w:type="dxa"/>
            <w:vAlign w:val="bottom"/>
          </w:tcPr>
          <w:p>
            <w:pPr>
              <w:spacing w:after="0"/>
              <w:rPr>
                <w:sz w:val="20"/>
                <w:szCs w:val="20"/>
                <w:color w:val="auto"/>
              </w:rPr>
            </w:pPr>
          </w:p>
        </w:tc>
        <w:tc>
          <w:tcPr>
            <w:tcW w:w="2000" w:type="dxa"/>
            <w:vAlign w:val="bottom"/>
            <w:gridSpan w:val="2"/>
          </w:tcPr>
          <w:p>
            <w:pPr>
              <w:jc w:val="center"/>
              <w:ind w:right="740"/>
              <w:spacing w:after="0"/>
              <w:rPr>
                <w:sz w:val="20"/>
                <w:szCs w:val="20"/>
                <w:color w:val="auto"/>
              </w:rPr>
            </w:pPr>
            <w:r>
              <w:rPr>
                <w:rFonts w:ascii="Times New Roman" w:cs="Times New Roman" w:eastAsia="Times New Roman" w:hAnsi="Times New Roman"/>
                <w:sz w:val="17"/>
                <w:szCs w:val="17"/>
                <w:color w:val="auto"/>
                <w:w w:val="99"/>
              </w:rPr>
              <w:t>CVEO</w:t>
            </w:r>
          </w:p>
        </w:tc>
        <w:tc>
          <w:tcPr>
            <w:tcW w:w="7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bl>
    <w:p>
      <w:pPr>
        <w:spacing w:after="0" w:line="6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31" w:lineRule="exact"/>
        <w:rPr>
          <w:sz w:val="24"/>
          <w:szCs w:val="24"/>
          <w:color w:val="auto"/>
        </w:rPr>
      </w:pPr>
    </w:p>
    <w:p>
      <w:pPr>
        <w:ind w:left="5520"/>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82" w:lineRule="exact"/>
        <w:rPr>
          <w:sz w:val="24"/>
          <w:szCs w:val="24"/>
          <w:color w:val="auto"/>
        </w:rPr>
      </w:pPr>
    </w:p>
    <w:p>
      <w:pPr>
        <w:ind w:left="4280"/>
        <w:spacing w:after="0" w:line="196" w:lineRule="exact"/>
        <w:tabs>
          <w:tab w:leader="none" w:pos="5300" w:val="left"/>
          <w:tab w:leader="none" w:pos="7220" w:val="left"/>
        </w:tabs>
        <w:rPr>
          <w:sz w:val="20"/>
          <w:szCs w:val="20"/>
          <w:color w:val="auto"/>
        </w:rPr>
      </w:pPr>
      <w:r>
        <w:rPr>
          <w:rFonts w:ascii="Times New Roman" w:cs="Times New Roman" w:eastAsia="Times New Roman" w:hAnsi="Times New Roman"/>
          <w:sz w:val="17"/>
          <w:szCs w:val="17"/>
          <w:color w:val="auto"/>
        </w:rPr>
        <w:t>Yes</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Section 15(d) of the Act.</w:t>
      </w:r>
    </w:p>
    <w:p>
      <w:pPr>
        <w:spacing w:after="0" w:line="99" w:lineRule="exact"/>
        <w:rPr>
          <w:sz w:val="24"/>
          <w:szCs w:val="24"/>
          <w:color w:val="auto"/>
        </w:rPr>
      </w:pPr>
    </w:p>
    <w:p>
      <w:pPr>
        <w:ind w:left="4420"/>
        <w:spacing w:after="0" w:line="196" w:lineRule="exact"/>
        <w:tabs>
          <w:tab w:leader="none" w:pos="69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68"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9" w:lineRule="exact"/>
        <w:rPr>
          <w:sz w:val="24"/>
          <w:szCs w:val="24"/>
          <w:color w:val="auto"/>
        </w:rPr>
      </w:pPr>
    </w:p>
    <w:p>
      <w:pPr>
        <w:ind w:left="3640"/>
        <w:spacing w:after="0" w:line="196" w:lineRule="exact"/>
        <w:tabs>
          <w:tab w:leader="none" w:pos="78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68"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7" w:lineRule="exact"/>
        <w:rPr>
          <w:sz w:val="24"/>
          <w:szCs w:val="24"/>
          <w:color w:val="auto"/>
        </w:rPr>
      </w:pPr>
    </w:p>
    <w:p>
      <w:pPr>
        <w:ind w:left="3540"/>
        <w:spacing w:after="0" w:line="196" w:lineRule="exact"/>
        <w:tabs>
          <w:tab w:leader="none" w:pos="798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751840</wp:posOffset>
            </wp:positionV>
            <wp:extent cx="716470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(Check one):</w:t>
      </w:r>
    </w:p>
    <w:p>
      <w:pPr>
        <w:sectPr>
          <w:pgSz w:w="11900" w:h="16838" w:orient="portrait"/>
          <w:cols w:equalWidth="0" w:num="1">
            <w:col w:w="11240"/>
          </w:cols>
          <w:pgMar w:left="320" w:top="853" w:right="339" w:bottom="1440" w:gutter="0" w:footer="0" w:header="0"/>
        </w:sect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82" w:lineRule="exact"/>
        <w:rPr>
          <w:sz w:val="20"/>
          <w:szCs w:val="20"/>
          <w:color w:val="auto"/>
        </w:rPr>
      </w:pPr>
    </w:p>
    <w:p>
      <w:pPr>
        <w:sectPr>
          <w:pgSz w:w="11900" w:h="16838" w:orient="portrait"/>
          <w:cols w:equalWidth="0" w:num="6">
            <w:col w:w="1600" w:space="620"/>
            <w:col w:w="160" w:space="440"/>
            <w:col w:w="1560" w:space="720"/>
            <w:col w:w="160" w:space="460"/>
            <w:col w:w="1740" w:space="720"/>
            <w:col w:w="3060"/>
          </w:cols>
          <w:pgMar w:left="320" w:top="853" w:right="339" w:bottom="1440" w:gutter="0" w:footer="0" w:header="0"/>
          <w:type w:val="continuous"/>
        </w:sectPr>
      </w:pPr>
    </w:p>
    <w:p>
      <w:pPr>
        <w:spacing w:after="0" w:line="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9" w:lineRule="exact"/>
        <w:rPr>
          <w:sz w:val="20"/>
          <w:szCs w:val="20"/>
          <w:color w:val="auto"/>
        </w:rPr>
      </w:pPr>
    </w:p>
    <w:p>
      <w:pPr>
        <w:sectPr>
          <w:pgSz w:w="11900" w:h="16838" w:orient="portrait"/>
          <w:cols w:equalWidth="0" w:num="4">
            <w:col w:w="1520" w:space="700"/>
            <w:col w:w="160" w:space="440"/>
            <w:col w:w="1560" w:space="680"/>
            <w:col w:w="6180"/>
          </w:cols>
          <w:pgMar w:left="320" w:top="853" w:right="339" w:bottom="1440" w:gutter="0" w:footer="0" w:header="0"/>
          <w:type w:val="continuous"/>
        </w:sectPr>
      </w:pPr>
    </w:p>
    <w:p>
      <w:pPr>
        <w:spacing w:after="0" w:line="77"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2"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8"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87" w:lineRule="exact"/>
        <w:rPr>
          <w:sz w:val="20"/>
          <w:szCs w:val="20"/>
          <w:color w:val="auto"/>
        </w:rPr>
      </w:pPr>
    </w:p>
    <w:p>
      <w:pPr>
        <w:ind w:right="180"/>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99" w:lineRule="exact"/>
        <w:rPr>
          <w:sz w:val="20"/>
          <w:szCs w:val="20"/>
          <w:color w:val="auto"/>
        </w:rPr>
      </w:pPr>
    </w:p>
    <w:p>
      <w:pPr>
        <w:ind w:left="3320"/>
        <w:spacing w:after="0" w:line="196" w:lineRule="exact"/>
        <w:tabs>
          <w:tab w:leader="none" w:pos="75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6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aggregate market value of common shares held by non-affiliates computed by reference to the price at which the common equity was last sold, or the average bid and asked price of such common equity, as of the last business day of the registrant’s most recently completed second fiscal quarter, June 30, 2025, was $276,806,089.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10,950,296 common shares outstanding as of February 26, 2026.</w:t>
      </w: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Portions of the registrant's Definitive Proxy Statement for the 2026 Annual General Meeting of Shareholders, which the registrant intends to file with the Securities and Exchange Commission not later than 120 days after the end of the fiscal year covered by this Annual Report on Form 10-K,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648970</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1080" w:type="dxa"/>
            <w:vAlign w:val="bottom"/>
          </w:tcPr>
          <w:p>
            <w:pPr>
              <w:spacing w:after="0"/>
              <w:rPr>
                <w:sz w:val="19"/>
                <w:szCs w:val="19"/>
                <w:color w:val="auto"/>
              </w:rPr>
            </w:pPr>
          </w:p>
        </w:tc>
        <w:tc>
          <w:tcPr>
            <w:tcW w:w="8580" w:type="dxa"/>
            <w:vAlign w:val="bottom"/>
          </w:tcPr>
          <w:p>
            <w:pPr>
              <w:ind w:left="3580"/>
              <w:spacing w:after="0"/>
              <w:rPr>
                <w:sz w:val="20"/>
                <w:szCs w:val="20"/>
                <w:color w:val="auto"/>
              </w:rPr>
            </w:pPr>
            <w:r>
              <w:rPr>
                <w:rFonts w:ascii="Times New Roman" w:cs="Times New Roman" w:eastAsia="Times New Roman" w:hAnsi="Times New Roman"/>
                <w:sz w:val="17"/>
                <w:szCs w:val="17"/>
                <w:b w:val="1"/>
                <w:bCs w:val="1"/>
                <w:color w:val="auto"/>
              </w:rPr>
              <w:t>CIVEO CORPORATION</w:t>
            </w: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0"/>
        </w:trPr>
        <w:tc>
          <w:tcPr>
            <w:tcW w:w="1080" w:type="dxa"/>
            <w:vAlign w:val="bottom"/>
          </w:tcPr>
          <w:p>
            <w:pPr>
              <w:spacing w:after="0"/>
              <w:rPr>
                <w:sz w:val="24"/>
                <w:szCs w:val="24"/>
                <w:color w:val="auto"/>
              </w:rPr>
            </w:pPr>
          </w:p>
        </w:tc>
        <w:tc>
          <w:tcPr>
            <w:tcW w:w="8580" w:type="dxa"/>
            <w:vAlign w:val="bottom"/>
          </w:tcPr>
          <w:p>
            <w:pPr>
              <w:ind w:left="424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8"/>
        </w:trPr>
        <w:tc>
          <w:tcPr>
            <w:tcW w:w="108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560" w:type="dxa"/>
            <w:vAlign w:val="bottom"/>
            <w:gridSpan w:val="3"/>
          </w:tcPr>
          <w:p>
            <w:pPr>
              <w:ind w:left="900"/>
              <w:spacing w:after="0"/>
              <w:rPr>
                <w:sz w:val="20"/>
                <w:szCs w:val="20"/>
                <w:color w:val="auto"/>
              </w:rPr>
            </w:pPr>
            <w:r>
              <w:rPr>
                <w:rFonts w:ascii="Times New Roman" w:cs="Times New Roman" w:eastAsia="Times New Roman" w:hAnsi="Times New Roman"/>
                <w:sz w:val="17"/>
                <w:szCs w:val="17"/>
                <w:b w:val="1"/>
                <w:bCs w:val="1"/>
                <w:color w:val="auto"/>
                <w:w w:val="99"/>
              </w:rPr>
              <w:t>Page No.</w:t>
            </w:r>
          </w:p>
        </w:tc>
      </w:tr>
      <w:tr>
        <w:trPr>
          <w:trHeight w:val="227"/>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PART I</w:t>
            </w:r>
          </w:p>
        </w:tc>
        <w:tc>
          <w:tcPr>
            <w:tcW w:w="8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8"/>
        </w:trPr>
        <w:tc>
          <w:tcPr>
            <w:tcW w:w="9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242424"/>
              </w:rPr>
              <w:t>Cautionary Statement Regarding Forward-Looking Statements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1</w:t>
            </w:r>
          </w:p>
        </w:tc>
      </w:tr>
      <w:tr>
        <w:trPr>
          <w:trHeight w:val="218"/>
        </w:trPr>
        <w:tc>
          <w:tcPr>
            <w:tcW w:w="108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Business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3</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1A.</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Risk Factors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22</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1B.</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Unresolved Staff Comments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38</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1C.</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Cybersecurity</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38</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2.</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Properties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39</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3.</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Legal Proceedings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41</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4.</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Mine Safety Disclosures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41</w:t>
            </w:r>
          </w:p>
        </w:tc>
      </w:tr>
      <w:tr>
        <w:trPr>
          <w:trHeight w:val="218"/>
        </w:trPr>
        <w:tc>
          <w:tcPr>
            <w:tcW w:w="108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PART II</w:t>
            </w:r>
          </w:p>
        </w:tc>
        <w:tc>
          <w:tcPr>
            <w:tcW w:w="8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5.</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Market for Registrant’s Common Equity, Related Shareholder Matters and Issuer Purchases of Equity Securities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42</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6.</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Reserved</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44</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7.</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Management’s Discussion and Analysis of Financial Condition and Results of Operations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45</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7A.</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Quantitative and Qualitative Disclosures About Market Risk</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59</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8.</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Financial Statements and Supplementary Data</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59</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9.</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Changes in and Disagreements with Accountants on Accounting and Financial Disclosure</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60</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9A.</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Controls and Procedures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60</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9B.</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Other Information</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61</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9C.</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Disclosure Regarding Foreign Jurisdictions that Prevent Inspections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61</w:t>
            </w:r>
          </w:p>
        </w:tc>
      </w:tr>
      <w:tr>
        <w:trPr>
          <w:trHeight w:val="218"/>
        </w:trPr>
        <w:tc>
          <w:tcPr>
            <w:tcW w:w="108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PART III</w:t>
            </w:r>
          </w:p>
        </w:tc>
        <w:tc>
          <w:tcPr>
            <w:tcW w:w="8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10.</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Directors, Executive Officers and Corporate Governance</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62</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11.</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Executive Compensation</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62</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12.</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Security Ownership of Certain Beneficial Owners and Management and Related Shareholder Matters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62</w:t>
            </w: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13.</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Certain Relationships and Related Transactions, and Director Independence</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62</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14.</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Principal Accounting Fees and Services</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62</w:t>
            </w:r>
          </w:p>
        </w:tc>
      </w:tr>
      <w:tr>
        <w:trPr>
          <w:trHeight w:val="218"/>
        </w:trPr>
        <w:tc>
          <w:tcPr>
            <w:tcW w:w="108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PART IV</w:t>
            </w:r>
          </w:p>
        </w:tc>
        <w:tc>
          <w:tcPr>
            <w:tcW w:w="8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8"/>
        </w:trPr>
        <w:tc>
          <w:tcPr>
            <w:tcW w:w="1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242424"/>
              </w:rPr>
              <w:t>Item 15.</w:t>
            </w:r>
          </w:p>
        </w:tc>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242424"/>
              </w:rPr>
              <w:t>Exhibits, Financial Statement Schedules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63</w:t>
            </w:r>
          </w:p>
        </w:tc>
      </w:tr>
      <w:tr>
        <w:trPr>
          <w:trHeight w:val="218"/>
        </w:trPr>
        <w:tc>
          <w:tcPr>
            <w:tcW w:w="1080" w:type="dxa"/>
            <w:vAlign w:val="bottom"/>
          </w:tcPr>
          <w:p>
            <w:pPr>
              <w:ind w:left="120"/>
              <w:spacing w:after="0"/>
              <w:rPr>
                <w:sz w:val="20"/>
                <w:szCs w:val="20"/>
                <w:color w:val="auto"/>
              </w:rPr>
            </w:pPr>
            <w:r>
              <w:rPr>
                <w:rFonts w:ascii="Times New Roman" w:cs="Times New Roman" w:eastAsia="Times New Roman" w:hAnsi="Times New Roman"/>
                <w:sz w:val="17"/>
                <w:szCs w:val="17"/>
                <w:color w:val="242424"/>
              </w:rPr>
              <w:t>Item 16.</w:t>
            </w:r>
          </w:p>
        </w:tc>
        <w:tc>
          <w:tcPr>
            <w:tcW w:w="8580" w:type="dxa"/>
            <w:vAlign w:val="bottom"/>
          </w:tcPr>
          <w:p>
            <w:pPr>
              <w:ind w:left="40"/>
              <w:spacing w:after="0"/>
              <w:rPr>
                <w:sz w:val="20"/>
                <w:szCs w:val="20"/>
                <w:color w:val="auto"/>
              </w:rPr>
            </w:pPr>
            <w:r>
              <w:rPr>
                <w:rFonts w:ascii="Times New Roman" w:cs="Times New Roman" w:eastAsia="Times New Roman" w:hAnsi="Times New Roman"/>
                <w:sz w:val="17"/>
                <w:szCs w:val="17"/>
                <w:color w:val="242424"/>
              </w:rPr>
              <w:t>Form 10-K Summary</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66</w:t>
            </w:r>
          </w:p>
        </w:tc>
      </w:tr>
      <w:tr>
        <w:trPr>
          <w:trHeight w:val="218"/>
        </w:trPr>
        <w:tc>
          <w:tcPr>
            <w:tcW w:w="1080" w:type="dxa"/>
            <w:vAlign w:val="bottom"/>
            <w:shd w:val="clear" w:color="auto" w:fill="CCEEFF"/>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242424"/>
                <w:w w:val="98"/>
              </w:rPr>
              <w:t>SIGNATURES</w:t>
            </w:r>
          </w:p>
        </w:tc>
        <w:tc>
          <w:tcPr>
            <w:tcW w:w="858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1335FF"/>
              </w:rPr>
              <w:t>67</w:t>
            </w:r>
          </w:p>
        </w:tc>
      </w:tr>
      <w:tr>
        <w:trPr>
          <w:trHeight w:val="218"/>
        </w:trPr>
        <w:tc>
          <w:tcPr>
            <w:tcW w:w="9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INDEX TO CONSOLIDATED FINANCIAL STATEMENTS</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68</w:t>
            </w:r>
          </w:p>
        </w:tc>
      </w:tr>
    </w:tbl>
    <w:p>
      <w:pPr>
        <w:spacing w:after="0" w:line="200" w:lineRule="exact"/>
        <w:rPr>
          <w:sz w:val="20"/>
          <w:szCs w:val="20"/>
          <w:color w:val="auto"/>
        </w:rPr>
      </w:pPr>
    </w:p>
    <w:p>
      <w:pPr>
        <w:sectPr>
          <w:pgSz w:w="11900" w:h="16838" w:orient="portrait"/>
          <w:cols w:equalWidth="0" w:num="1">
            <w:col w:w="11220"/>
          </w:cols>
          <w:pgMar w:left="340" w:top="8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90805</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849" w:right="339" w:bottom="1440" w:gutter="0" w:footer="0" w:header="0"/>
          <w:type w:val="continuous"/>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This annual report on Form 10-K (annual report) contains certain “forward-looking statements" within the meaning of Section 27A of the Securities Act of 1933 (the Securities Act) and Section 21E of the Securities Exchange Act of 1934 (the Exchange Act). Actual results could differ materially from those projected in the forward-looking statements as a result of a number of important factors. For a discussion of known material factors that could affect our results, refer to "Cautionary Statement Regarding Forward-Looking Statements" below and “Part I, Item 1. Business,” “Part I, Item 1A. Risk Factors,” “Part II, Item 7. Management's Discussion and Analysis of Financial Condition and Results of Operations” and “Part II, Item 7A. Quantitative and Qualitative Disclosures about Market Risk” of this annual report.</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i w:val="1"/>
          <w:iCs w:val="1"/>
          <w:color w:val="auto"/>
        </w:rPr>
        <w:t>In addition, in certain places in this annual report, we refer to reports published by third parties that purport to describe trends or developments in the energy industry. We do so for the convenience of our shareholders and in an effort to provide information available in the market that will assist our investors in having a better understanding of the market environment in which we operate. However, we specifically disclaim any responsibility for the accuracy and completeness of such information and undertake no obligation to update such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18"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annual report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8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us:</w:t>
      </w:r>
    </w:p>
    <w:p>
      <w:pPr>
        <w:spacing w:after="0" w:line="196" w:lineRule="exact"/>
        <w:rPr>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supply and demand for metallurgical (met) coal, oil, iron ore, natural gas and other minerals;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activity, spending and natural resource development in Australia and Canada;</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demand, particularly from China and India, for coal and other natural resources from Australia;</w:t>
      </w:r>
    </w:p>
    <w:p>
      <w:pPr>
        <w:spacing w:after="0" w:line="227"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attractive natural resource projects and assets, which may be affected by governmental actions, including changes in royalty or tax regimes, or environmental activists which may restrict drilling or development;</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or sharp declines in the current and future prices of coal, oil, iron ore, natural gas and other minerals;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successfully integrate the acquisition of four villages in Australia’s Bowen Basin into our existing operations;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 w:name="page5"/>
    <w:bookmarkEnd w:id="4"/>
    <w:p>
      <w:pPr>
        <w:jc w:val="both"/>
        <w:ind w:left="620" w:hanging="310"/>
        <w:spacing w:after="0" w:line="267" w:lineRule="auto"/>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global economic conditions, such as the pace of global economic growth, a general slowdown in the global economy, tariffs and international trade policy, supply chain disruptions, labor shortages, inflationary pressures and geopolitical events such as the ongoing conflicts in Russia/Ukraine, Venezuela and the Middle East;</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tax treaties or tax regulations or the interpretation or enforcement thereof, including taxing authorities not agreeing with our assessment of the effects of such laws, treaties and regulations;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government and environmental regulations, including climate change legislation and clean energy policies;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weather conditions, natural disasters, including wildfires, global health concerns and security threats, including cybersecurity incidents;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skilled personnel;</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cost of capital, including instability in the banking sector and the ability to access the debt and equity markets;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structure and our ability to return cash to shareholders through common share repurchases or dividends;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of new projects, including whether such projects will continue in the future;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identified in Item 1A. - "Risk Factors" of this annual report.</w:t>
      </w:r>
    </w:p>
    <w:p>
      <w:pPr>
        <w:spacing w:after="0" w:line="214"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5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 xml:space="preserve">ITEM 1. </w:t>
      </w:r>
      <w:r>
        <w:rPr>
          <w:rFonts w:ascii="Times New Roman" w:cs="Times New Roman" w:eastAsia="Times New Roman" w:hAnsi="Times New Roman"/>
          <w:sz w:val="17"/>
          <w:szCs w:val="17"/>
          <w:b w:val="1"/>
          <w:bCs w:val="1"/>
          <w:i w:val="1"/>
          <w:iCs w:val="1"/>
          <w:color w:val="auto"/>
        </w:rPr>
        <w:t>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1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maintain a website with the address of www.civeo.com. We are not including the information contained on our website as a part of, or incorporating it by reference into, this annual report. We file or furnish annual, quarterly and current reports, proxy statements and other documents with the Securities and Exchange Commission (the SEC). We make available free of charge through our website our Annual Report on Form 10-K, quarterly reports on Form 10-Q and current reports on Form 8-K, and amendments to these reports, as soon as reasonably practicable after we electronically file such material with, or furnish such material to, the SEC. Also, the SEC maintains a website that contains reports, proxy and information statements, and other information regarding issuers that file electronically with the SEC, including us, and our filings are available on the Internet at www.sec.gov and free of charge upon written request to our corporate secretary at the address shown on the cover page of this annual report.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18"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w:t>
      </w:r>
    </w:p>
    <w:p>
      <w:pPr>
        <w:spacing w:after="0" w:line="200"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We primarily operate in some of the world’s most active met coal, oil, iron ore and liquefied natural gas (LNG) producing regions, where, in many cases, traditional hospitality accommodations and related infrastructure services often are not accessible, sufficient or cost effective. Our customers include mining companies, major and independent oil companies, construction and engineering companies and oilfield and mining service companies. Our extensive suite of services enables us to meet the unique needs of each of our customers, while providing comfortable accommodations for their employees. Our customers can outsource their hospitality accommodations needs to a single supplier, maintaining employee welfare and satisfaction while focusing their investment on their core resource production efforts.</w:t>
      </w:r>
    </w:p>
    <w:p>
      <w:pPr>
        <w:spacing w:after="0" w:line="199"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Company is built on the foundation of the following core values: Safety, Respect, Care, Excellence, Integrity and Collaboration. We put the safety of our employees and guests above all. We act with respect in all that we do. We care about our people, guests, customers, environment and communities. We deliver service excellence with passion and pride. We strive to operate with integrity, earning trust and delivering on our promises. We collaborate to share perspectives and to achieve shared success. We firmly believe that living and integrating these values into our operations is a strategic advantage that drives innovation, builds resilience and creates lasting value for our stakeholders.</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hospitality services span the lifecycle of customer projects, from the initial exploration, resource delineation and construction to long-term production. Initially, as customers assess the resource potential and determine how they will develop it, they typically need our hospitality services for a limited number of employees for an uncertain duration of time. Our fleet of mobile assets in Canada is well-suited to support this initial exploratory stage as customers evaluate their development and construction plans. As development of the resource begins, we can serve their needs through either: (i) our integrated services model in customer-owned facilities, (ii) our scalable lodge or village model or (iii) our fleet of mobile assets, particularly for shorter term projects such as pipeline construction and seasonal drilling programs. As projects grow and headcount needs increase, we are able to meet our customers growing needs at our accommodation facilities or with our hospitality services. By providing infrastructure support and hospitality services early in the project lifecycle, we are well positioned to continue to service our customers throughout the production phase, which typically lasts decades.</w:t>
      </w:r>
    </w:p>
    <w:p>
      <w:pPr>
        <w:spacing w:after="0" w:line="17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own and operate 26 lodges and villages with approximately 26,500 rooms. We also operate approximately 19,500 rooms across 24 locations where the accommodations assets are owned by our customers. Additionally, in Canada, we also offer a fleet of mobile assets which serve shorter term projects, such as pipeline construction. We have long-standing relationships with many of our customers, many of whom are, or are affiliates of, large, investment-grade energy and mining companies.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 w:name="page7"/>
    <w:bookmarkEnd w:id="6"/>
    <w:p>
      <w:pPr>
        <w:jc w:val="both"/>
        <w:ind w:right="100" w:firstLine="461"/>
        <w:spacing w:after="0" w:line="248" w:lineRule="auto"/>
        <w:rPr>
          <w:sz w:val="20"/>
          <w:szCs w:val="20"/>
          <w:color w:val="auto"/>
        </w:rPr>
      </w:pPr>
      <w:r>
        <w:rPr>
          <w:rFonts w:ascii="Times New Roman" w:cs="Times New Roman" w:eastAsia="Times New Roman" w:hAnsi="Times New Roman"/>
          <w:sz w:val="17"/>
          <w:szCs w:val="17"/>
          <w:color w:val="auto"/>
        </w:rPr>
        <w:t>For the years ended December 31, 2025, 2024 and 2023, we generated $638.8 million, $682.1 million and $700.8 million in revenues and $4.1 million, $1.3 million and $39.5 million in operating income, respectively. The majority of our operations, assets and income are derived from the hospitality services provided at villages and lodges we or our customers own that have historically been contracted by our customers under multi-year, take-or-pay, exclusivity or integrated services contracts. For the year ended December 31, 2025, the hospitality services we provide at our owned facilities generated 57% of our revenue, while our integrated services offerings at customer owned facilities generated 43% of our revenue. Important performance metrics include revenue related to our major properties, average daily rates and aggregate billed rooms. The following summarizes these key statistics for the periods presented in this annual report.</w:t>
      </w:r>
    </w:p>
    <w:p>
      <w:pPr>
        <w:spacing w:after="0" w:line="5"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5"/>
          <w:szCs w:val="15"/>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22860</wp:posOffset>
            </wp:positionV>
            <wp:extent cx="2719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25" w:lineRule="exact"/>
        <w:rPr>
          <w:sz w:val="20"/>
          <w:szCs w:val="20"/>
          <w:color w:val="auto"/>
        </w:rPr>
      </w:pPr>
    </w:p>
    <w:p>
      <w:pPr>
        <w:ind w:left="7600"/>
        <w:spacing w:after="0"/>
        <w:tabs>
          <w:tab w:leader="none" w:pos="9100" w:val="left"/>
          <w:tab w:leader="none" w:pos="106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22860</wp:posOffset>
            </wp:positionV>
            <wp:extent cx="271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25"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5"/>
          <w:szCs w:val="15"/>
          <w:b w:val="1"/>
          <w:bCs w:val="1"/>
          <w:color w:val="auto"/>
        </w:rPr>
        <w:t>(In thousands, except for room counts and average daily rate)</w:t>
      </w:r>
    </w:p>
    <w:p>
      <w:pPr>
        <w:spacing w:after="0" w:line="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60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5"/>
                <w:szCs w:val="15"/>
                <w:color w:val="auto"/>
              </w:rPr>
              <w:t xml:space="preserve">Accommodation and Associated Services Revenue </w:t>
            </w:r>
            <w:r>
              <w:rPr>
                <w:rFonts w:ascii="Times New Roman" w:cs="Times New Roman" w:eastAsia="Times New Roman" w:hAnsi="Times New Roman"/>
                <w:sz w:val="19"/>
                <w:szCs w:val="19"/>
                <w:color w:val="auto"/>
                <w:vertAlign w:val="superscript"/>
              </w:rPr>
              <w:t>(1)</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r>
      <w:tr>
        <w:trPr>
          <w:trHeight w:val="218"/>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Australia</w:t>
            </w: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211,761</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196,684</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177,83</w:t>
            </w:r>
          </w:p>
        </w:tc>
      </w:tr>
      <w:tr>
        <w:trPr>
          <w:trHeight w:val="218"/>
        </w:trPr>
        <w:tc>
          <w:tcPr>
            <w:tcW w:w="66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Canada</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214,774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266,92</w:t>
            </w:r>
          </w:p>
        </w:tc>
      </w:tr>
      <w:tr>
        <w:trPr>
          <w:trHeight w:val="202"/>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Other</w:t>
            </w:r>
          </w:p>
        </w:tc>
        <w:tc>
          <w:tcPr>
            <w:tcW w:w="4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w:t>
            </w:r>
          </w:p>
        </w:tc>
      </w:tr>
      <w:tr>
        <w:trPr>
          <w:trHeight w:val="198"/>
        </w:trPr>
        <w:tc>
          <w:tcPr>
            <w:tcW w:w="6600" w:type="dxa"/>
            <w:vAlign w:val="bottom"/>
            <w:tcBorders>
              <w:top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Total Accommodation and Associated Services Revenue</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362,412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421,537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455,96</w:t>
            </w:r>
          </w:p>
        </w:tc>
      </w:tr>
      <w:tr>
        <w:trPr>
          <w:trHeight w:val="123"/>
        </w:trPr>
        <w:tc>
          <w:tcPr>
            <w:tcW w:w="6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5"/>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5"/>
                <w:szCs w:val="15"/>
                <w:color w:val="auto"/>
              </w:rPr>
              <w:t xml:space="preserve">Mobile Facility Rental and Associated Services Revenue </w:t>
            </w:r>
            <w:r>
              <w:rPr>
                <w:rFonts w:ascii="Times New Roman" w:cs="Times New Roman" w:eastAsia="Times New Roman" w:hAnsi="Times New Roman"/>
                <w:sz w:val="19"/>
                <w:szCs w:val="19"/>
                <w:color w:val="auto"/>
                <w:vertAlign w:val="superscript"/>
              </w:rPr>
              <w:t>(2)</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60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5"/>
                <w:szCs w:val="15"/>
                <w:color w:val="auto"/>
              </w:rPr>
              <w:t>Canada</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61,89</w:t>
            </w:r>
          </w:p>
        </w:tc>
      </w:tr>
      <w:tr>
        <w:trPr>
          <w:trHeight w:val="198"/>
        </w:trPr>
        <w:tc>
          <w:tcPr>
            <w:tcW w:w="66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Total Mobile Facility Rental and Associated Sevices Revenue</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61,89</w:t>
            </w:r>
          </w:p>
        </w:tc>
      </w:tr>
      <w:tr>
        <w:trPr>
          <w:trHeight w:val="123"/>
        </w:trPr>
        <w:tc>
          <w:tcPr>
            <w:tcW w:w="6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5"/>
        </w:trPr>
        <w:tc>
          <w:tcPr>
            <w:tcW w:w="66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5"/>
                <w:szCs w:val="15"/>
                <w:color w:val="auto"/>
              </w:rPr>
              <w:t xml:space="preserve">Integrated Services and Other Services Revenue </w:t>
            </w:r>
            <w:r>
              <w:rPr>
                <w:rFonts w:ascii="Times New Roman" w:cs="Times New Roman" w:eastAsia="Times New Roman" w:hAnsi="Times New Roman"/>
                <w:sz w:val="19"/>
                <w:szCs w:val="19"/>
                <w:color w:val="auto"/>
                <w:vertAlign w:val="superscript"/>
              </w:rPr>
              <w:t>(3)</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2"/>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Australia</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248,534</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230,272</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158,92</w:t>
            </w:r>
          </w:p>
        </w:tc>
      </w:tr>
      <w:tr>
        <w:trPr>
          <w:trHeight w:val="220"/>
        </w:trPr>
        <w:tc>
          <w:tcPr>
            <w:tcW w:w="66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Canada</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28,790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w:t>
            </w:r>
          </w:p>
        </w:tc>
      </w:tr>
      <w:tr>
        <w:trPr>
          <w:trHeight w:val="202"/>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Other</w:t>
            </w:r>
          </w:p>
        </w:tc>
        <w:tc>
          <w:tcPr>
            <w:tcW w:w="4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198"/>
        </w:trPr>
        <w:tc>
          <w:tcPr>
            <w:tcW w:w="6600" w:type="dxa"/>
            <w:vAlign w:val="bottom"/>
            <w:tcBorders>
              <w:top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5"/>
                <w:szCs w:val="15"/>
                <w:color w:val="auto"/>
              </w:rPr>
              <w:t>Total Integrated Services and Other Services Revenue</w:t>
            </w: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274,850</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259,062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182,94</w:t>
            </w:r>
          </w:p>
        </w:tc>
      </w:tr>
      <w:tr>
        <w:trPr>
          <w:trHeight w:val="123"/>
        </w:trPr>
        <w:tc>
          <w:tcPr>
            <w:tcW w:w="6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205"/>
        </w:trPr>
        <w:tc>
          <w:tcPr>
            <w:tcW w:w="66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r>
      <w:tr>
        <w:trPr>
          <w:trHeight w:val="198"/>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Revenue</w:t>
            </w: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638,849</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682,122</w:t>
            </w:r>
          </w:p>
        </w:tc>
        <w:tc>
          <w:tcPr>
            <w:tcW w:w="100" w:type="dxa"/>
            <w:vAlign w:val="bottom"/>
          </w:tcPr>
          <w:p>
            <w:pPr>
              <w:spacing w:after="0"/>
              <w:rPr>
                <w:sz w:val="17"/>
                <w:szCs w:val="17"/>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700,80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06"/>
        </w:trPr>
        <w:tc>
          <w:tcPr>
            <w:tcW w:w="66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5"/>
                <w:szCs w:val="15"/>
                <w:color w:val="auto"/>
              </w:rPr>
              <w:t xml:space="preserve">Average Daily Rates for Owned Villages and Lodges </w:t>
            </w:r>
            <w:r>
              <w:rPr>
                <w:rFonts w:ascii="Times New Roman" w:cs="Times New Roman" w:eastAsia="Times New Roman" w:hAnsi="Times New Roman"/>
                <w:sz w:val="19"/>
                <w:szCs w:val="19"/>
                <w:color w:val="auto"/>
                <w:vertAlign w:val="superscript"/>
              </w:rPr>
              <w:t>(4)</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8"/>
        </w:trPr>
        <w:tc>
          <w:tcPr>
            <w:tcW w:w="66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Australia</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2"/>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Canada</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143"/>
        </w:trPr>
        <w:tc>
          <w:tcPr>
            <w:tcW w:w="6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5"/>
        </w:trPr>
        <w:tc>
          <w:tcPr>
            <w:tcW w:w="6600" w:type="dxa"/>
            <w:vAlign w:val="bottom"/>
          </w:tcPr>
          <w:p>
            <w:pPr>
              <w:ind w:left="20"/>
              <w:spacing w:after="0" w:line="205" w:lineRule="exact"/>
              <w:rPr>
                <w:sz w:val="20"/>
                <w:szCs w:val="20"/>
                <w:color w:val="auto"/>
              </w:rPr>
            </w:pPr>
            <w:r>
              <w:rPr>
                <w:rFonts w:ascii="Times New Roman" w:cs="Times New Roman" w:eastAsia="Times New Roman" w:hAnsi="Times New Roman"/>
                <w:sz w:val="15"/>
                <w:szCs w:val="15"/>
                <w:color w:val="auto"/>
              </w:rPr>
              <w:t xml:space="preserve">Total Billed Rooms for Owned Villages and Lodges </w:t>
            </w:r>
            <w:r>
              <w:rPr>
                <w:rFonts w:ascii="Times New Roman" w:cs="Times New Roman" w:eastAsia="Times New Roman" w:hAnsi="Times New Roman"/>
                <w:sz w:val="19"/>
                <w:szCs w:val="19"/>
                <w:color w:val="auto"/>
                <w:vertAlign w:val="superscript"/>
              </w:rPr>
              <w:t>(5)</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5"/>
        </w:trPr>
        <w:tc>
          <w:tcPr>
            <w:tcW w:w="66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Australia</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2,783,893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2,524,108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2,371,76</w:t>
            </w:r>
          </w:p>
        </w:tc>
      </w:tr>
      <w:tr>
        <w:trPr>
          <w:trHeight w:val="202"/>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Canada</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1,550,435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2,205,700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2,710,78</w:t>
            </w:r>
          </w:p>
        </w:tc>
      </w:tr>
      <w:tr>
        <w:trPr>
          <w:trHeight w:val="143"/>
        </w:trPr>
        <w:tc>
          <w:tcPr>
            <w:tcW w:w="66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202"/>
        </w:trPr>
        <w:tc>
          <w:tcPr>
            <w:tcW w:w="66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Exchange Rate</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66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Australian dollar to U. S. dollar</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w:t>
            </w:r>
          </w:p>
        </w:tc>
      </w:tr>
      <w:tr>
        <w:trPr>
          <w:trHeight w:val="200"/>
        </w:trPr>
        <w:tc>
          <w:tcPr>
            <w:tcW w:w="66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Canadian dollar to U. S. dollar</w:t>
            </w: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0.72</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0.73</w:t>
            </w:r>
          </w:p>
        </w:tc>
        <w:tc>
          <w:tcPr>
            <w:tcW w:w="100" w:type="dxa"/>
            <w:vAlign w:val="bottom"/>
          </w:tcPr>
          <w:p>
            <w:pPr>
              <w:spacing w:after="0"/>
              <w:rPr>
                <w:sz w:val="17"/>
                <w:szCs w:val="17"/>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r>
    </w:tbl>
    <w:p>
      <w:pPr>
        <w:spacing w:after="0" w:line="278" w:lineRule="exact"/>
        <w:rPr>
          <w:sz w:val="20"/>
          <w:szCs w:val="20"/>
          <w:color w:val="auto"/>
        </w:rPr>
      </w:pPr>
    </w:p>
    <w:p>
      <w:pPr>
        <w:ind w:left="600" w:hanging="290"/>
        <w:spacing w:after="0"/>
        <w:tabs>
          <w:tab w:leader="none" w:pos="6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village and lodge rooms and hospitality services for Civeo owned rooms for the periods presented.</w:t>
      </w:r>
    </w:p>
    <w:p>
      <w:pPr>
        <w:ind w:left="600" w:hanging="290"/>
        <w:spacing w:after="0" w:line="193" w:lineRule="auto"/>
        <w:tabs>
          <w:tab w:leader="none" w:pos="6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2"/>
          <w:szCs w:val="22"/>
          <w:color w:val="auto"/>
          <w:vertAlign w:val="superscript"/>
        </w:rPr>
      </w:pPr>
    </w:p>
    <w:p>
      <w:pPr>
        <w:ind w:left="600" w:hanging="290"/>
        <w:spacing w:after="0" w:line="193" w:lineRule="auto"/>
        <w:tabs>
          <w:tab w:leader="none" w:pos="6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food service, laundry and water and wastewater treatment services and facilities management for the periods presented.</w:t>
      </w:r>
    </w:p>
    <w:p>
      <w:pPr>
        <w:spacing w:after="0" w:line="1" w:lineRule="exact"/>
        <w:rPr>
          <w:rFonts w:ascii="Times New Roman" w:cs="Times New Roman" w:eastAsia="Times New Roman" w:hAnsi="Times New Roman"/>
          <w:sz w:val="22"/>
          <w:szCs w:val="22"/>
          <w:color w:val="auto"/>
          <w:vertAlign w:val="superscript"/>
        </w:rPr>
      </w:pPr>
    </w:p>
    <w:p>
      <w:pPr>
        <w:ind w:left="600" w:hanging="290"/>
        <w:spacing w:after="0" w:line="193" w:lineRule="auto"/>
        <w:tabs>
          <w:tab w:leader="none" w:pos="6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daily rate is based on billed rooms and accommodation and other services revenue for Civeo owned rooms during the periods presented.</w:t>
      </w:r>
    </w:p>
    <w:p>
      <w:pPr>
        <w:spacing w:after="0" w:line="1" w:lineRule="exact"/>
        <w:rPr>
          <w:rFonts w:ascii="Times New Roman" w:cs="Times New Roman" w:eastAsia="Times New Roman" w:hAnsi="Times New Roman"/>
          <w:sz w:val="22"/>
          <w:szCs w:val="22"/>
          <w:color w:val="auto"/>
          <w:vertAlign w:val="superscript"/>
        </w:rPr>
      </w:pPr>
    </w:p>
    <w:p>
      <w:pPr>
        <w:ind w:left="600" w:hanging="290"/>
        <w:spacing w:after="0" w:line="193" w:lineRule="auto"/>
        <w:tabs>
          <w:tab w:leader="none" w:pos="6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Billed rooms represents total billed days for Civeo owned village and lodge assets for the periods presented.</w:t>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Our History</w:t>
      </w:r>
    </w:p>
    <w:p>
      <w:pPr>
        <w:spacing w:after="0" w:line="21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history is one of identifying customer and market needs and developing economic solutions. Our historical experience in Canada began in small, mobile assets and evolved into owning and managing large scale remote accommodations. In Australia, our operations originated with a similar build-own-operate model as we operate in our Canadian lodges. Since then and with the addition of an acquisition, we have evolved our service delivery to include operating customer-owned locations with the same hospitality services that we provide at our owned villages.</w:t>
      </w:r>
    </w:p>
    <w:p>
      <w:pPr>
        <w:spacing w:after="0" w:line="19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Canadian operations, founded in 1977, began by providing modular rental housing to energy customers, primarily supporting drilling rig crews in the Western Canadian Sedimentary Basin. Over the next decade, we acquired a food service operation, enabling us to provide a more comprehensive accommodation solution. Through our experience with Syncrude’s Mildred Lake Village, a 2,100 bed facility that we built, operated and managed for them for nearly 20 years, we recognized the need for a premium, and more permanent, solution for workforce accommodations and hospitality services in the Canadian oil sands region. Pursuing this strategy, we opened PTI Lodge in 1998, one of the first independent lodging facilities in the region.</w:t>
      </w:r>
    </w:p>
    <w:p>
      <w:pPr>
        <w:spacing w:after="0" w:line="20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 2018, we acquired Noralta Lodge Ltd., which provided remote hospitality services in Alberta, Canada through eleven lodges comprising over 5,700 owned rooms and 7,900 total rooms. Over time, we have developed into Canada’s largest third-party provider of accommodations and hospitality services in the Canadian oil sands region.</w:t>
      </w:r>
    </w:p>
    <w:p>
      <w:pPr>
        <w:spacing w:after="0" w:line="193"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During 2015, we entered the Canadian LNG market with the construction of our Sitka Lodge. Our Sitka Lodge supports the LNG Canada (LNGC) project and related pipeline projects (specifically, the Coastal GasLink Pipeline, the pipeline constructed to transport natural gas feedstock to LNGC). Construction activity of Phase 1 of the Kitimat LNG Facility has been completed and commercial operations commenced in June 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w:t>
      </w:r>
    </w:p>
    <w:p>
      <w:pPr>
        <w:spacing w:after="0" w:line="200"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With the acquisition of our Australian business in December 2010, we began providing hospitality services to support the Australian natural resources industry through our villages located in Queensland, New South Wales and Western Australia. Like Canada, our Australian business has a long-history of taking care of customers in remote regions, beginning with our initial Moranbah Village in 1996, and has grown to become Australia’s largest independent provider of hospitality services for people working in remote locations. Our Australian business was the first to introduce resort-style accommodations to the mining sector, adding landscaping, outdoor kitchens, pools, fitness centers and, in some cases, taverns.</w:t>
      </w:r>
    </w:p>
    <w:p>
      <w:pPr>
        <w:spacing w:after="0" w:line="20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 2019, we acquired Action Industrial Catering, a provider of catering and managed services (which we refer to as our integrated services business) to the mining industry in Western Australia. This acquisition enhanced our service offering, expanded our geographic footprint, added exposure to new commodities in Australia and underlined our focus on pursuing growth opportunities that fit within our core competencies and strategic direction.</w:t>
      </w:r>
    </w:p>
    <w:p>
      <w:pPr>
        <w:spacing w:after="0" w:line="19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 May 2025, we acquired Qantac Pty Ltd (Qantac), located in Queensland, Australia (the Qantac Acquisition). The Qantac Acquisition included four villages, with 1,368 rooms in Australia’s Bowen Basin and the associated accommodation assets, land and customer contracts. This acquisition expanded our existing accommodations business into the Blackwater region of the Bowen Basin, which was not previously served by our existing villages.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218"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provide our hospitality services to customers in the natural resources industry. Our scalable facilities provide long-term and temporary workforce accommodations where, in many cases, traditional hospitality accommodations and related infrastructure services often are not accessible, sufficient or cost effective.</w:t>
      </w:r>
    </w:p>
    <w:p>
      <w:pPr>
        <w:spacing w:after="0" w:line="193"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Through our wide range of hospitality services, we are able to identify, solve and implement solutions and services that enhance the guest experience, improve workforce productivity and reduce the customer’s total cost of housing a workforce in a remote operating location. In addition to catering and food service, lodging, housekeeping and maintenance at accommodation facilities that we or our customers own, our hospitality services have evolved to include fitness centers, water and wastewater treatment, laundry service and many other enhancements.</w:t>
      </w:r>
    </w:p>
    <w:p>
      <w:pPr>
        <w:spacing w:after="0" w:line="19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customers either own their accommodations assets or outsource them. Customers may choose to own their accommodations assets because (i) their natural resource project is the only source of demand for rooms in the region; (ii) they believe in the long-term nature of their resource project; and/or (iii) they desire to maintain control over the supply of rooms for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 w:name="page9"/>
    <w:bookmarkEnd w:id="8"/>
    <w:p>
      <w:pPr>
        <w:jc w:val="both"/>
        <w:spacing w:after="0" w:line="284" w:lineRule="auto"/>
        <w:rPr>
          <w:sz w:val="20"/>
          <w:szCs w:val="20"/>
          <w:color w:val="auto"/>
        </w:rPr>
      </w:pPr>
      <w:r>
        <w:rPr>
          <w:rFonts w:ascii="Times New Roman" w:cs="Times New Roman" w:eastAsia="Times New Roman" w:hAnsi="Times New Roman"/>
          <w:sz w:val="17"/>
          <w:szCs w:val="17"/>
          <w:color w:val="auto"/>
        </w:rPr>
        <w:t>their project. Where customers have chosen to own their accommodations assets, customers usually subcontract the management of the facility and the provision of the hospitality services to a third-party provider, such as Civeo through our integrated services model in customer-owned facilities.</w:t>
      </w:r>
    </w:p>
    <w:p>
      <w:pPr>
        <w:spacing w:after="0" w:line="17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Historically, Australian mining companies and Canadian oil sands developers built and owned the accommodations necessary to house their personnel in these remote regions because local labor and third-party owned rooms were not available. Over the past 20 years, and increasingly over the past 10 years, some customers have moved away from the insourcing business model for a portion of their accommodation needs as they recognize that owning accommodations and providing the related hospitality services are non-core investments for their business.</w:t>
      </w:r>
    </w:p>
    <w:p>
      <w:pPr>
        <w:spacing w:after="0" w:line="19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accommodations outsourcing model is effective in regions in which multiple customers have on-going or prospective projects where third-party owned and operated accommodations assets can service multiple customers. This allows those customers to share some of the costs associated with their peak accommodations needs, including infrastructure (power, water, sewer and information technology) and central dining and recreation facilities. The Queensland Bowen Basin region and the Canadian oil sands region are two geographic areas that fit this market dynamic.</w:t>
      </w:r>
    </w:p>
    <w:p>
      <w:pPr>
        <w:spacing w:after="0" w:line="3" w:lineRule="exact"/>
        <w:rPr>
          <w:sz w:val="20"/>
          <w:szCs w:val="20"/>
          <w:color w:val="auto"/>
        </w:rPr>
      </w:pPr>
    </w:p>
    <w:p>
      <w:pPr>
        <w:jc w:val="both"/>
        <w:ind w:firstLine="461"/>
        <w:spacing w:after="0" w:line="252" w:lineRule="auto"/>
        <w:rPr>
          <w:sz w:val="20"/>
          <w:szCs w:val="20"/>
          <w:color w:val="auto"/>
        </w:rPr>
      </w:pPr>
      <w:r>
        <w:rPr>
          <w:rFonts w:ascii="Times New Roman" w:cs="Times New Roman" w:eastAsia="Times New Roman" w:hAnsi="Times New Roman"/>
          <w:sz w:val="17"/>
          <w:szCs w:val="17"/>
          <w:color w:val="auto"/>
        </w:rPr>
        <w:t>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and the expectations of our customers' shareholders. As a result, demand for our hospitality services is sensitive to expected commodity prices, principally related to met coal, oil, iron ore and LNG, and the resultant impact of these commodity price expectations on our customers’ spending.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21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believe that our existing industry divides accommodations into two primary types: (i) villages and lodges and (ii) mobile assets. Civeo is principally focused on hospitality services at villages and lodges that are either owned by Civeo or customer-owned. Villages and lodges typically contain a larger number of rooms and require more time and capital to develop. These facilities typically have dining areas, meeting rooms, recreational facilities, pubs and taverns and landscaped grounds where weather permits. Villages and lodges are generally supported by multi-year, take-or-pay or exclusivity contracts. These facilities are designed to serve the long-term needs of customers in developing and producing their natural resource developments. Mobile assets are designed to follow customers’ activities and can be deployed rapidly to scale. They are often used to support pipeline and infrastructure construction as well as conventional and in-situ drilling crews and are contracted on a project-by-project or short-term basis. Oftentimes, customers will initially require mobile assets as they evaluate or initially develop a field or mine. Mobile asset projects can be dedicated and committed to a single customer or project or can serve multiple customers.</w:t>
      </w:r>
    </w:p>
    <w:p>
      <w:pPr>
        <w:spacing w:after="0" w:line="2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largest customers in 2025 were Fortescue Metals Group Ltd. and Suncor Energy Inc., who each accounted for more than 10% of our 2025 revenues.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Competitors</w:t>
      </w:r>
    </w:p>
    <w:p>
      <w:pPr>
        <w:spacing w:after="0" w:line="244"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The accommodation facilities market supporting the natural resource industry is segmented into competitors that serve components of the overall value chain, but very few offer the entire suite of hospitality services to customers. Historically, many customers have invested in their own accommodations. We estimate that our existing and potential customers own approximately 50% of the rooms available in both the Australian coal mining regions and Canadian oil sands. Engineering firms such as Bechtel and Fluor often design accommodations facilities. Many public and private firms, such as ATCO Structures &amp; Logistics Ltd. (ATCO), Alta-Fab Structures Ltd., Fleetwood Australia and Northgate Industries Ltd., build modular accommodations for sale. Dexterra Group Inc., Black Diamond Group Limited, ATCO, Ausco Modular (a subsidiary of Modulaire Group) and Target Hospitality Corp. primarily own and lease units to customers and, in some cases, provide facility management services, usually on a shorter-term basis with a more limited number of rooms, similar to our mobile assets business. Facility service companies, such as Aramark Corporation, Sodexo Inc., ISS, Compass Group PLC and Cater Care Australia Pty. Ltd., typically do not invest in and own the accommodations assets but will provide hospitality services at third-party or customer-owned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Australia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0"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During the year ended December 31, 2025, we generated 72% of our revenue from our Australian operations. As of December 31, 2025, we owned 10,318 rooms across twelve villages, of which 8,856 rooms service the Bowen Basin of central Queensland, one of the premier met coal basins in the world. We are Australia’s largest provider of hospitality services for people working in the Bowen Basin. We provide hospitality services on a day rate basis to mining and related service companies (including construction contractors), typically under short- and medium-term contracts (from several months to six years) with minimum nightly room commitments. In addition, we provide integrated services to the mining industry in Western Australia and South Australia. On May 6, 2025, we acquired the assets of Qantac, located in Queensland, Australia, for total consideration of A$105 million (or approximately US$68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Australian Market</w:t>
      </w:r>
    </w:p>
    <w:p>
      <w:pPr>
        <w:spacing w:after="0" w:line="220"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As the largest contributor to exports and a major contributor to the country’s gross domestic product and government revenue, the Australian natural resources industry plays a vital role in the Australian economy. Australia has broad natural resources, including met and thermal coal, iron ore, conventional and coal seam gas, base metals, copper, lithium and precious metals such as gold. Australia is the largest exporter of met coal and iron ore in the world, in addition to being in close proximity to the largest steel producing countries in the world, primarily in Southeast Asia and India. The growth of Australian natural resource commodity exports over the last decade has been largely driven by strong Asian demand for met coal, iron ore and LNG. Australia’s resources are primarily located in remote regions of the country that lack infrastructure and resident labor forces to produce these resources, as the majority of Australia’s population is located on the east coast of the country. As a result, much of the natural resources labor force works on a rotational basis, which often requires a commute from a major city or the coast to a living arrangement near the resource projects. Consequently, there is substantial need for workforce accommodations and hospitality services to support resource production in the country. Workforce accommodations have historically been built and owned by the resource developer/owner, with third parties providing the hospitality and facility management services, typical of an insourcing business model.</w:t>
      </w:r>
    </w:p>
    <w:p>
      <w:pPr>
        <w:spacing w:after="0" w:line="20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Since 1996, our Australian business has sought to change the insourcing business model through its hospitality services offering, allowing customers to outsource their accommodations needs and focus their investments on resource production operations. Our Australian villages are strategically located in proximity to long-lived, low-cost mines operated by multiple investment-grade, international mining companies.</w:t>
      </w:r>
    </w:p>
    <w:p>
      <w:pPr>
        <w:spacing w:after="0" w:line="193"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customers are typically developing and producing met coal, iron ore and other minerals which have resource lives that are measured in decades. As such, their spending levels tend to react similarly to commodity prices as the spending levels of our Canadian customers. Spending on producing assets is less sensitive to commodity price decreases in the short and medium term, assuming the projects remain cash flow positive. However, new construction projects and expansionary projects are typically canceled or deferred during periods of lower met coal and iron ore prices. New project construction activity typically requires larger workforces than day-to-day operations, where proximity and availability of customer-owned locations influences the demand for our rooms and services. Demand for rooms at our Australian villages is primarily driven by production, maintenance and operational activities.</w:t>
      </w:r>
    </w:p>
    <w:p>
      <w:pPr>
        <w:spacing w:after="0" w:line="199"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Australian operations primarily serve the Bowen Basin of Queensland and the Pilbara region in Western Australia. During the year ended December 31, 2025, our nine villages in the Bowen Basin generated 41% of our Australian revenue, or 29% of our consolidated revenue. Further, our Australian operations include provision of village operations for two customer owned sites in the Bowen Basin. The Bowen Basin contains one of the largest coal deposits in Australia and is renowned for its premium met coal. In addition, we provide village operation and mine site cleaning services at 11 customer locations in the Pilbara region, which is renowned for high grade iron ore production. Our villages and customer-owned locations are focused on the mines in the central portion of the Pilbara and Bowen Basins and are well positioned for the active mines in the region.</w:t>
      </w:r>
    </w:p>
    <w:p>
      <w:pPr>
        <w:spacing w:after="0" w:line="199"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Beyond met coal and iron ore markets served in the Pilbara and Bowen Basins, we serve several other markets with three additional villages and ten customer-owned villages. At the end of 2025, we had two villages with over 1,000 combined rooms in the Gunnedah Basin, a thermal and met coal region in New South Wales. In Western Australia, we serve workforces related to the construction of a Urea facility on the Burrup Peninsula through our Karratha village. In addition, we provide hospitality services in Western Australia and South Australia at ten customer-owned locations which support workforces related to nickel, copper,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0" w:name="page11"/>
    <w:bookmarkEnd w:id="10"/>
    <w:p>
      <w:pPr>
        <w:jc w:val="both"/>
        <w:spacing w:after="0" w:line="284" w:lineRule="auto"/>
        <w:rPr>
          <w:sz w:val="20"/>
          <w:szCs w:val="20"/>
          <w:color w:val="auto"/>
        </w:rPr>
      </w:pPr>
      <w:r>
        <w:rPr>
          <w:rFonts w:ascii="Times New Roman" w:cs="Times New Roman" w:eastAsia="Times New Roman" w:hAnsi="Times New Roman"/>
          <w:sz w:val="17"/>
          <w:szCs w:val="17"/>
          <w:color w:val="auto"/>
        </w:rPr>
        <w:t>zinc, silver and gold production in the Goldfields-Esperance region, lithium production in the Pilbara region and copper, silver and gold in Western Australia and South Australia.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Australian Village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5659755" cy="3179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9755" cy="317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Owned Rooms in our Australian Villages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20" w:type="dxa"/>
            <w:vAlign w:val="bottom"/>
            <w:vMerge w:val="restart"/>
          </w:tcPr>
          <w:p>
            <w:pPr>
              <w:ind w:left="1340"/>
              <w:spacing w:after="0"/>
              <w:rPr>
                <w:sz w:val="20"/>
                <w:szCs w:val="20"/>
                <w:color w:val="auto"/>
              </w:rPr>
            </w:pPr>
            <w:r>
              <w:rPr>
                <w:rFonts w:ascii="Times New Roman" w:cs="Times New Roman" w:eastAsia="Times New Roman" w:hAnsi="Times New Roman"/>
                <w:sz w:val="15"/>
                <w:szCs w:val="15"/>
                <w:b w:val="1"/>
                <w:bCs w:val="1"/>
                <w:color w:val="auto"/>
              </w:rPr>
              <w:t>Villages</w:t>
            </w:r>
          </w:p>
        </w:tc>
        <w:tc>
          <w:tcPr>
            <w:tcW w:w="100" w:type="dxa"/>
            <w:vAlign w:val="bottom"/>
            <w:vMerge w:val="restart"/>
          </w:tcPr>
          <w:p>
            <w:pPr>
              <w:spacing w:after="0"/>
              <w:rPr>
                <w:sz w:val="13"/>
                <w:szCs w:val="13"/>
                <w:color w:val="auto"/>
              </w:rPr>
            </w:pPr>
          </w:p>
        </w:tc>
        <w:tc>
          <w:tcPr>
            <w:tcW w:w="1500" w:type="dxa"/>
            <w:vAlign w:val="bottom"/>
            <w:gridSpan w:val="2"/>
          </w:tcPr>
          <w:p>
            <w:pPr>
              <w:ind w:left="380"/>
              <w:spacing w:after="0" w:line="159" w:lineRule="exact"/>
              <w:rPr>
                <w:sz w:val="20"/>
                <w:szCs w:val="20"/>
                <w:color w:val="auto"/>
              </w:rPr>
            </w:pPr>
            <w:r>
              <w:rPr>
                <w:rFonts w:ascii="Times New Roman" w:cs="Times New Roman" w:eastAsia="Times New Roman" w:hAnsi="Times New Roman"/>
                <w:sz w:val="15"/>
                <w:szCs w:val="15"/>
                <w:b w:val="1"/>
                <w:bCs w:val="1"/>
                <w:color w:val="auto"/>
              </w:rPr>
              <w:t>Resource</w:t>
            </w: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5"/>
                <w:szCs w:val="15"/>
                <w:b w:val="1"/>
                <w:bCs w:val="1"/>
                <w:color w:val="auto"/>
              </w:rPr>
              <w:t>Commodity</w:t>
            </w:r>
          </w:p>
        </w:tc>
        <w:tc>
          <w:tcPr>
            <w:tcW w:w="120" w:type="dxa"/>
            <w:vAlign w:val="bottom"/>
            <w:vMerge w:val="restart"/>
          </w:tcPr>
          <w:p>
            <w:pPr>
              <w:spacing w:after="0"/>
              <w:rPr>
                <w:sz w:val="13"/>
                <w:szCs w:val="13"/>
                <w:color w:val="auto"/>
              </w:rPr>
            </w:pPr>
          </w:p>
        </w:tc>
        <w:tc>
          <w:tcPr>
            <w:tcW w:w="138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3"/>
                <w:szCs w:val="13"/>
                <w:color w:val="auto"/>
              </w:rPr>
            </w:pPr>
          </w:p>
        </w:tc>
        <w:tc>
          <w:tcPr>
            <w:tcW w:w="140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140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4"/>
        </w:trPr>
        <w:tc>
          <w:tcPr>
            <w:tcW w:w="3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b w:val="1"/>
                <w:bCs w:val="1"/>
                <w:color w:val="auto"/>
              </w:rPr>
              <w:t>Basin</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Coppabella</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3,144</w:t>
            </w:r>
          </w:p>
        </w:tc>
        <w:tc>
          <w:tcPr>
            <w:tcW w:w="0" w:type="dxa"/>
            <w:vAlign w:val="bottom"/>
          </w:tcPr>
          <w:p>
            <w:pPr>
              <w:spacing w:after="0"/>
              <w:rPr>
                <w:sz w:val="1"/>
                <w:szCs w:val="1"/>
                <w:color w:val="auto"/>
              </w:rPr>
            </w:pPr>
          </w:p>
        </w:tc>
      </w:tr>
      <w:tr>
        <w:trPr>
          <w:trHeight w:val="202"/>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Dysart</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1,798</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Moranbah</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1,240</w:t>
            </w:r>
          </w:p>
        </w:tc>
        <w:tc>
          <w:tcPr>
            <w:tcW w:w="0" w:type="dxa"/>
            <w:vAlign w:val="bottom"/>
          </w:tcPr>
          <w:p>
            <w:pPr>
              <w:spacing w:after="0"/>
              <w:rPr>
                <w:sz w:val="1"/>
                <w:szCs w:val="1"/>
                <w:color w:val="auto"/>
              </w:rPr>
            </w:pPr>
          </w:p>
        </w:tc>
      </w:tr>
      <w:tr>
        <w:trPr>
          <w:trHeight w:val="202"/>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Middlemount</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Boggabri</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Gunnedah</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met/thermal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0" w:type="dxa"/>
            <w:vAlign w:val="bottom"/>
          </w:tcPr>
          <w:p>
            <w:pPr>
              <w:spacing w:after="0"/>
              <w:rPr>
                <w:sz w:val="1"/>
                <w:szCs w:val="1"/>
                <w:color w:val="auto"/>
              </w:rPr>
            </w:pPr>
          </w:p>
        </w:tc>
      </w:tr>
      <w:tr>
        <w:trPr>
          <w:trHeight w:val="202"/>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Narrabri</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Gunnedah</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met/thermal coal</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Nebo</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202"/>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Karratha</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Pilbara</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LNG, iron ore</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0" w:type="dxa"/>
            <w:vAlign w:val="bottom"/>
          </w:tcPr>
          <w:p>
            <w:pPr>
              <w:spacing w:after="0"/>
              <w:rPr>
                <w:sz w:val="1"/>
                <w:szCs w:val="1"/>
                <w:color w:val="auto"/>
              </w:rPr>
            </w:pPr>
          </w:p>
        </w:tc>
      </w:tr>
      <w:tr>
        <w:trPr>
          <w:trHeight w:val="207"/>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Rosewood</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4"/>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Waratah</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6"/>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Vitrinite</w:t>
            </w:r>
          </w:p>
        </w:tc>
        <w:tc>
          <w:tcPr>
            <w:tcW w:w="1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4"/>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Acacia</w:t>
            </w: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Bowen</w:t>
            </w:r>
          </w:p>
        </w:tc>
        <w:tc>
          <w:tcPr>
            <w:tcW w:w="182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met coal</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1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Rooms</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8,910</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Australian segment includes twelve company-owned villages with 10,318 rooms as of December 31, 2025, which are strategically located near long-lived, low-cost mines operated by large mining companies. Our Australian business provides hospitality services to mining and related service companies under short- and medium-term contracts. Our growth plan for this part of our business continues to include enhanced occupancy and expansion of these properties where we believe there is durable long-term demand, as well as to provide hospitality services at customer-owned assets.</w:t>
      </w:r>
    </w:p>
    <w:p>
      <w:pPr>
        <w:spacing w:after="0" w:line="19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Coppabella, Dysart, Moranbah, Middlemount, Nebo, Rosewood, Waratah, Vitrinite and Acacia villages are located in the Bowen Basin. Coppabella, at over 3,100 rooms, is our largest village and provides rooms and related hospitality services to a variety of customers. Each of these villages supports both operational workforce needs and contractor needs with resort style amenities, including swimming pools, gyms, a walking track and a tavern.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1" w:name="page12"/>
    <w:bookmarkEnd w:id="11"/>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Our Narrabri and Boggabri villages in New South Wales provide rooms and related hospitality services to met and thermal coal mines and coal seam gas in the Gunnedah Basin. Our Karratha village, in Western Australia, services workforces related to LNG facilities operations on the Northwest Shelf.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Australian Hospitality Services at Third-Party Owned Facilities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also provide hospitality services at customer-owned locations to the mining industry in Western Australia and South Australia. Historically, this has been focused on natural resource production-related village facilities that are primarily owned by iron ore production companies. We provide village hospitality services at 23 customer-owned locations, which represent over 17,000 rooms, primarily in the Pilbara region of Western Australia, one of the premier iron ore bodies in the world, and in the Goldfields-Esperance region of Western Australia. The facilities we manage range anywhere from 100 to over 1,900 rooms. We work together with our customers to customize our service offerings depending on our customers' needs. Hospitality services can be performed on an end-to-end basis with catering and food service, housekeeping and site maintenance or just portions of the services offered such as food service only. Mine site office cleaning services are also provided at some of our customer-owned locations.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2025, we generated approximately 28% of our revenue from our Canadian operations. We are western Canada’s largest provider of hospitality services for people working in remote locations. We provide our services through our lodges and mobile assets and at customer-owned locations. Our hospitality services support workforces in the Canadian LNG and oil sands markets and in a variety of oil and natural gas drilling, mining, pipeline and related natural resource applications.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Market</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Demand for our hospitality services in the Canadian market is largely driven by customer capital spending, which is greatly influenced by current and future commodity prices.</w:t>
      </w:r>
    </w:p>
    <w:p>
      <w:pPr>
        <w:spacing w:after="0" w:line="178"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 the Canadian oil sands region, demand is primarily influenced by the longer-term outlook for oil prices rather than current energy prices, given the multi-year production life of oil sands projects and the capital investment associated with development of such large-scale projects. Demand for our Canadian lodges is secondarily impacted by oil takeaway capacity which influences the net price our customers receive for their oil production.</w:t>
      </w:r>
    </w:p>
    <w:p>
      <w:pPr>
        <w:spacing w:after="0" w:line="193"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Spending on the construction and development of new projects generally decreases as the outlook for oil prices decreases. However, spending on current operations and maintenance has historically reacted less quickly and less severely to changes in oil prices, as customers consider their cash operating costs, rather than overall full-cycle returns. Customers have recently focused on lowering their cash operating costs while maintaining similar levels of production, leading to lower overall customer spending and reduced personnel on site and therefore lower demand for remote accommodations, like we provide. Construction and expansion projects already underway have also been less sensitive to commodity price decreases, as customers generally focus on completion and incremental costs. Natural gas prices also influence oil sands activity as an input cost: as natural gas prices fluctuate, a significant component of our customers’ operating costs fluctuate as well.</w:t>
      </w:r>
    </w:p>
    <w:p>
      <w:pPr>
        <w:spacing w:after="0" w:line="205"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Another factor that influences demand for our hospitality services in the Canadian oil sands region is the type of customer project we are supporting. Generally, Canadian customers require larger workforces during construction and expansionary periods, and therefore have higher demand for our rooms and services. Operational and maintenance headcounts are typically a fraction, 20% to 25%, of the headcounts experienced during construction.</w:t>
      </w:r>
    </w:p>
    <w:p>
      <w:pPr>
        <w:spacing w:after="0" w:line="19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 addition, proximity to customer activity and availability of customer-owned and competitor-owned rooms influences the demand for our rooms in the Canadian oil sands region. Typically, customers prefer to first utilize their own rooms on location, and if such customer-owned rooms are insufficient, customers prefer to avoid busing their workforces to housing more than 45 kilometers away.</w:t>
      </w:r>
    </w:p>
    <w:p>
      <w:pPr>
        <w:spacing w:after="0" w:line="19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The Athabasca oil sands are located in northern Alberta, an area that is very remote, with a limited local labor supply. Of Canada’s approximately 42 million residents, approximately half of the population lives in ten cities, while approximately 12% of the population lives in Alberta and less than 1% of the population lives within 100 kilometers of the oil sands activity. The local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2" w:name="page13"/>
    <w:bookmarkEnd w:id="12"/>
    <w:p>
      <w:pPr>
        <w:jc w:val="both"/>
        <w:spacing w:after="0" w:line="267" w:lineRule="auto"/>
        <w:rPr>
          <w:sz w:val="20"/>
          <w:szCs w:val="20"/>
          <w:color w:val="auto"/>
        </w:rPr>
      </w:pPr>
      <w:r>
        <w:rPr>
          <w:rFonts w:ascii="Times New Roman" w:cs="Times New Roman" w:eastAsia="Times New Roman" w:hAnsi="Times New Roman"/>
          <w:sz w:val="17"/>
          <w:szCs w:val="17"/>
          <w:color w:val="auto"/>
        </w:rPr>
        <w:t>municipalities, of which the town of Fort McMurray is the largest, have limited infrastructure to respond to workforce accommodation demands and are a significant driving distance from many of the oil sands projects. Civeo lodges are strategically placed near customer mining and production facilities to enhance their productivity and safety of their workforce.</w:t>
      </w:r>
    </w:p>
    <w:p>
      <w:pPr>
        <w:spacing w:after="0" w:line="193"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With respect to LNG and related pipeline activity in Canada, a number of multinational energy companies believe there is a potential to export LNG from Canada to meet the increasing global LNG demand, particularly in Asia. Construction activity of Phase 1 of the Kitimat LNG Facility has been completed and commercial operations commenced at the end of June 2025. The Coastal GasLink Pipeline was completed in 2024. The population of Kitimat and the surrounding area is approximately 9,000 people, whereas the LNGC project had almost 7,500 workers at its peak to construct the Kitimat LNG Facility. See "Canada-Canadian British Columbia Lodge" for more information.</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LNG investment and activity in Western Canada, and related demand for hospitality services, is influenced by the global prices for LNG, which are largely tied to global oil prices, global supply/demand dynamics for LNG and Western Canadian wellhead prices for natural gas. Utilization of our existing Canadian capacity and any future expansions will largely depend on continued LNG and oil sands spending related to existing production, maintenance activities and potential future expansion of existing projects.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Oil Sands Lodges</w:t>
      </w:r>
    </w:p>
    <w:p>
      <w:pPr>
        <w:spacing w:after="0" w:line="220"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During the year ended December 31, 2025, activity in the Athabasca oil sands region generated approximately 80% of our Canadian revenue, or 22% of our consolidated revenue. The oil sands region continues to represent one of the world’s largest reserves for heavy oil. Our Wapasu Creek, Athabasca, Beaver River, Fort McMurray Village, Grey Wolf, Hudson, and Borealis lodges are focused on the northern region of the Athabasca oil sands, where customers primarily utilize surface mining to extract bitumen. Oil sands mining operations are characterized by large capital requirements, large reserves, larger personnel requirements, long-term reserve lives, very low exploration or reserve risk and relatively lower cash operating costs per barrel of bitumen produced. Our Conklin and Anzac lodges are focused in the southern portion of the region where we primarily serve in-situ operations and pipeline expansion and maintenance activity. In-situ methods are used on reserves that are too deep for traditional surface mining methods. In-situ technology typically injects steam or solvents into the deep oil sands in place to separate the bitumen from the sand and pumps it to the surface where it undergoes the same upgrading treatment as the mined bitumen. Reserves requiring in-situ techniques of extraction represent 80% of the established recoverable reserves in Alberta. In comparison to surface mining operations, in-situ operations generally require lower initial capital investment, fewer personnel but produce lower volumes of bitumen per development, with higher ongoing operating expense per barrel of bitumen produced.</w:t>
      </w:r>
    </w:p>
    <w:p>
      <w:pPr>
        <w:spacing w:after="0" w:line="20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oil sands lodges primarily support personnel for ongoing operations associated with surface mining and in-situ oil sands projects, as well as maintenance, turnaround and expansionary personnel, generally under short- and medium-term contracts. Most of our oil sands lodges are located on land with leases obtained from the province of Alberta, with initial terms of ten years, or subleased from the resource developer. Our leases have expiration dates that range from 2027 and 2035 with the exception of one lease that expires in 2049. In recent years, we have successfully renewed or extended all expiring land leases which we have requested to renew or extend. We did not renew an expiring land lease associated with our McClelland Lake Lodge in Alberta, Canada, which expired in June 2023, in order to support our customer’s intent to mine the land where the lodge was located.</w:t>
      </w:r>
    </w:p>
    <w:p>
      <w:pPr>
        <w:spacing w:after="0" w:line="199"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order to operate a lodge in Canada, we are required to obtain a development permit from the regional municipality in which the lodge is located. The development permits are granted for a term of five years. Our development permits have expiration dates that range from 2028 to 2032. In recent years, we have successfully renewed or extended all expiring development permits. See “Item 1A. Risk Factors - Risks Related to Our Operations - The majority of our major Canadian lodges are located on land subject to leases. If we are unable to renew a lease or obtain permits necessary to operate on such leased land, we could be materially and adversely affected.” of this annual report for further discussion.</w:t>
      </w:r>
    </w:p>
    <w:p>
      <w:pPr>
        <w:spacing w:after="0" w:line="20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provide a range of hospitality services at our lodges, including reservation management, food service, housekeeping and facilities management. Our lodge guests receive amenities similar to an economy, full-service, urban hotel with our service offering a room and three meals a day.</w:t>
      </w:r>
    </w:p>
    <w:p>
      <w:pPr>
        <w:spacing w:after="0" w:line="178"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provide our hospitality services at the lodges we own on a day rate or monthly rental basis, and our customers typically commit for short to long-term contracts (from several months up to several years). Most customers make a minimum nightly or monthly room commitment or an aggregate total room night commitment for the term of the contract, and the multi-year contracts typically provide for annual escalation provisions for increased food, labor and utilities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British Columbia Lodge</w:t>
      </w:r>
    </w:p>
    <w:p>
      <w:pPr>
        <w:spacing w:after="0" w:line="22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Construction activity of Phase 1 of the Kitimat LNG Facility has been completed and commercial operations commenced in June 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 Accordingly, we reduced the room count at Sitka in 2025 by relocating some rooms to the Canadian mobile assets for future deployment and selling other rooms to a third party.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Lodge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5659755" cy="3179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755" cy="3179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4" w:name="page15"/>
    <w:bookmarkEnd w:id="14"/>
    <w:tbl>
      <w:tblPr>
        <w:tblLayout w:type="fixed"/>
        <w:tblInd w:w="16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As of December 31,</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240" w:type="dxa"/>
            <w:vAlign w:val="bottom"/>
            <w:vMerge w:val="restart"/>
          </w:tcPr>
          <w:p>
            <w:pPr>
              <w:ind w:left="1380"/>
              <w:spacing w:after="0"/>
              <w:rPr>
                <w:sz w:val="20"/>
                <w:szCs w:val="20"/>
                <w:color w:val="auto"/>
              </w:rPr>
            </w:pPr>
            <w:r>
              <w:rPr>
                <w:rFonts w:ascii="Times New Roman" w:cs="Times New Roman" w:eastAsia="Times New Roman" w:hAnsi="Times New Roman"/>
                <w:sz w:val="15"/>
                <w:szCs w:val="15"/>
                <w:b w:val="1"/>
                <w:bCs w:val="1"/>
                <w:color w:val="auto"/>
              </w:rPr>
              <w:t>Lodges</w:t>
            </w:r>
          </w:p>
        </w:tc>
        <w:tc>
          <w:tcPr>
            <w:tcW w:w="100" w:type="dxa"/>
            <w:vAlign w:val="bottom"/>
            <w:vMerge w:val="restart"/>
          </w:tcPr>
          <w:p>
            <w:pPr>
              <w:spacing w:after="0"/>
              <w:rPr>
                <w:sz w:val="13"/>
                <w:szCs w:val="13"/>
                <w:color w:val="auto"/>
              </w:rPr>
            </w:pPr>
          </w:p>
        </w:tc>
        <w:tc>
          <w:tcPr>
            <w:tcW w:w="1480" w:type="dxa"/>
            <w:vAlign w:val="bottom"/>
            <w:vMerge w:val="restart"/>
          </w:tcPr>
          <w:p>
            <w:pPr>
              <w:ind w:left="500"/>
              <w:spacing w:after="0"/>
              <w:rPr>
                <w:sz w:val="20"/>
                <w:szCs w:val="20"/>
                <w:color w:val="auto"/>
              </w:rPr>
            </w:pPr>
            <w:r>
              <w:rPr>
                <w:rFonts w:ascii="Times New Roman" w:cs="Times New Roman" w:eastAsia="Times New Roman" w:hAnsi="Times New Roman"/>
                <w:sz w:val="15"/>
                <w:szCs w:val="15"/>
                <w:b w:val="1"/>
                <w:bCs w:val="1"/>
                <w:color w:val="auto"/>
              </w:rPr>
              <w:t>Region</w:t>
            </w:r>
          </w:p>
        </w:tc>
        <w:tc>
          <w:tcPr>
            <w:tcW w:w="100" w:type="dxa"/>
            <w:vAlign w:val="bottom"/>
            <w:vMerge w:val="restart"/>
          </w:tcPr>
          <w:p>
            <w:pPr>
              <w:spacing w:after="0"/>
              <w:rPr>
                <w:sz w:val="13"/>
                <w:szCs w:val="13"/>
                <w:color w:val="auto"/>
              </w:rPr>
            </w:pPr>
          </w:p>
        </w:tc>
        <w:tc>
          <w:tcPr>
            <w:tcW w:w="1640" w:type="dxa"/>
            <w:vAlign w:val="bottom"/>
            <w:gridSpan w:val="2"/>
          </w:tcPr>
          <w:p>
            <w:pPr>
              <w:ind w:left="420"/>
              <w:spacing w:after="0" w:line="159" w:lineRule="exact"/>
              <w:rPr>
                <w:sz w:val="20"/>
                <w:szCs w:val="20"/>
                <w:color w:val="auto"/>
              </w:rPr>
            </w:pPr>
            <w:r>
              <w:rPr>
                <w:rFonts w:ascii="Times New Roman" w:cs="Times New Roman" w:eastAsia="Times New Roman" w:hAnsi="Times New Roman"/>
                <w:sz w:val="15"/>
                <w:szCs w:val="15"/>
                <w:b w:val="1"/>
                <w:bCs w:val="1"/>
                <w:color w:val="auto"/>
              </w:rPr>
              <w:t>Extraction</w:t>
            </w:r>
          </w:p>
        </w:tc>
        <w:tc>
          <w:tcPr>
            <w:tcW w:w="138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3"/>
                <w:szCs w:val="13"/>
                <w:color w:val="auto"/>
              </w:rPr>
            </w:pPr>
          </w:p>
        </w:tc>
        <w:tc>
          <w:tcPr>
            <w:tcW w:w="138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3"/>
                <w:szCs w:val="13"/>
                <w:color w:val="auto"/>
              </w:rPr>
            </w:pPr>
          </w:p>
        </w:tc>
        <w:tc>
          <w:tcPr>
            <w:tcW w:w="140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204"/>
        </w:trPr>
        <w:tc>
          <w:tcPr>
            <w:tcW w:w="3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Technique</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Wapasu Creek</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mining/in-situ</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5,174</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5,174</w:t>
            </w:r>
          </w:p>
        </w:tc>
        <w:tc>
          <w:tcPr>
            <w:tcW w:w="0" w:type="dxa"/>
            <w:vAlign w:val="bottom"/>
          </w:tcPr>
          <w:p>
            <w:pPr>
              <w:spacing w:after="0"/>
              <w:rPr>
                <w:sz w:val="1"/>
                <w:szCs w:val="1"/>
                <w:color w:val="auto"/>
              </w:rPr>
            </w:pPr>
          </w:p>
        </w:tc>
      </w:tr>
      <w:tr>
        <w:trPr>
          <w:trHeight w:val="205"/>
        </w:trPr>
        <w:tc>
          <w:tcPr>
            <w:tcW w:w="33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Athabasca </w:t>
            </w:r>
            <w:r>
              <w:rPr>
                <w:rFonts w:ascii="Times New Roman" w:cs="Times New Roman" w:eastAsia="Times New Roman" w:hAnsi="Times New Roman"/>
                <w:sz w:val="19"/>
                <w:szCs w:val="19"/>
                <w:color w:val="auto"/>
                <w:vertAlign w:val="superscript"/>
              </w:rPr>
              <w:t>(1)</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2,005</w:t>
            </w: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Beaver River</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1,094</w:t>
            </w:r>
          </w:p>
        </w:tc>
        <w:tc>
          <w:tcPr>
            <w:tcW w:w="0" w:type="dxa"/>
            <w:vAlign w:val="bottom"/>
          </w:tcPr>
          <w:p>
            <w:pPr>
              <w:spacing w:after="0"/>
              <w:rPr>
                <w:sz w:val="1"/>
                <w:szCs w:val="1"/>
                <w:color w:val="auto"/>
              </w:rPr>
            </w:pPr>
          </w:p>
        </w:tc>
      </w:tr>
      <w:tr>
        <w:trPr>
          <w:trHeight w:val="202"/>
        </w:trPr>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Fort McMurray Village: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Buffalo</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340" w:type="dxa"/>
            <w:vAlign w:val="bottom"/>
            <w:gridSpan w:val="2"/>
          </w:tcPr>
          <w:p>
            <w:pPr>
              <w:ind w:left="320"/>
              <w:spacing w:after="0" w:line="205" w:lineRule="exact"/>
              <w:rPr>
                <w:sz w:val="20"/>
                <w:szCs w:val="20"/>
                <w:color w:val="auto"/>
              </w:rPr>
            </w:pPr>
            <w:r>
              <w:rPr>
                <w:rFonts w:ascii="Times New Roman" w:cs="Times New Roman" w:eastAsia="Times New Roman" w:hAnsi="Times New Roman"/>
                <w:sz w:val="15"/>
                <w:szCs w:val="15"/>
                <w:color w:val="auto"/>
              </w:rPr>
              <w:t xml:space="preserve">Black Bear </w:t>
            </w:r>
            <w:r>
              <w:rPr>
                <w:rFonts w:ascii="Times New Roman" w:cs="Times New Roman" w:eastAsia="Times New Roman" w:hAnsi="Times New Roman"/>
                <w:sz w:val="19"/>
                <w:szCs w:val="19"/>
                <w:color w:val="auto"/>
                <w:vertAlign w:val="superscript"/>
              </w:rPr>
              <w:t>(1)</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320"/>
              <w:spacing w:after="0" w:line="205" w:lineRule="exact"/>
              <w:rPr>
                <w:sz w:val="20"/>
                <w:szCs w:val="20"/>
                <w:color w:val="auto"/>
              </w:rPr>
            </w:pPr>
            <w:r>
              <w:rPr>
                <w:rFonts w:ascii="Times New Roman" w:cs="Times New Roman" w:eastAsia="Times New Roman" w:hAnsi="Times New Roman"/>
                <w:sz w:val="15"/>
                <w:szCs w:val="15"/>
                <w:color w:val="auto"/>
              </w:rPr>
              <w:t xml:space="preserve">Bighorn </w:t>
            </w:r>
            <w:r>
              <w:rPr>
                <w:rFonts w:ascii="Times New Roman" w:cs="Times New Roman" w:eastAsia="Times New Roman" w:hAnsi="Times New Roman"/>
                <w:sz w:val="19"/>
                <w:szCs w:val="19"/>
                <w:color w:val="auto"/>
                <w:vertAlign w:val="superscript"/>
              </w:rPr>
              <w:t>(1)</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0" w:type="dxa"/>
            <w:vAlign w:val="bottom"/>
          </w:tcPr>
          <w:p>
            <w:pPr>
              <w:spacing w:after="0"/>
              <w:rPr>
                <w:sz w:val="1"/>
                <w:szCs w:val="1"/>
                <w:color w:val="auto"/>
              </w:rPr>
            </w:pPr>
          </w:p>
        </w:tc>
      </w:tr>
      <w:tr>
        <w:trPr>
          <w:trHeight w:val="202"/>
        </w:trPr>
        <w:tc>
          <w:tcPr>
            <w:tcW w:w="33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Lynx</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0" w:type="dxa"/>
            <w:vAlign w:val="bottom"/>
          </w:tcPr>
          <w:p>
            <w:pPr>
              <w:spacing w:after="0"/>
              <w:rPr>
                <w:sz w:val="1"/>
                <w:szCs w:val="1"/>
                <w:color w:val="auto"/>
              </w:rPr>
            </w:pPr>
          </w:p>
        </w:tc>
      </w:tr>
      <w:tr>
        <w:trPr>
          <w:trHeight w:val="207"/>
        </w:trPr>
        <w:tc>
          <w:tcPr>
            <w:tcW w:w="33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Wolverine</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855</w:t>
            </w:r>
          </w:p>
        </w:tc>
        <w:tc>
          <w:tcPr>
            <w:tcW w:w="0" w:type="dxa"/>
            <w:vAlign w:val="bottom"/>
          </w:tcPr>
          <w:p>
            <w:pPr>
              <w:spacing w:after="0"/>
              <w:rPr>
                <w:sz w:val="1"/>
                <w:szCs w:val="1"/>
                <w:color w:val="auto"/>
              </w:rPr>
            </w:pPr>
          </w:p>
        </w:tc>
      </w:tr>
      <w:tr>
        <w:trPr>
          <w:trHeight w:val="205"/>
        </w:trPr>
        <w:tc>
          <w:tcPr>
            <w:tcW w:w="33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Borealis </w:t>
            </w:r>
            <w:r>
              <w:rPr>
                <w:rFonts w:ascii="Times New Roman" w:cs="Times New Roman" w:eastAsia="Times New Roman" w:hAnsi="Times New Roman"/>
                <w:sz w:val="19"/>
                <w:szCs w:val="19"/>
                <w:color w:val="auto"/>
                <w:vertAlign w:val="superscript"/>
              </w:rPr>
              <w:t>(1)</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1,504</w:t>
            </w: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Grey Wolf</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0" w:type="dxa"/>
            <w:vAlign w:val="bottom"/>
          </w:tcPr>
          <w:p>
            <w:pPr>
              <w:spacing w:after="0"/>
              <w:rPr>
                <w:sz w:val="1"/>
                <w:szCs w:val="1"/>
                <w:color w:val="auto"/>
              </w:rPr>
            </w:pPr>
          </w:p>
        </w:tc>
      </w:tr>
      <w:tr>
        <w:trPr>
          <w:trHeight w:val="205"/>
        </w:trPr>
        <w:tc>
          <w:tcPr>
            <w:tcW w:w="33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Hudson </w:t>
            </w:r>
            <w:r>
              <w:rPr>
                <w:rFonts w:ascii="Times New Roman" w:cs="Times New Roman" w:eastAsia="Times New Roman" w:hAnsi="Times New Roman"/>
                <w:sz w:val="19"/>
                <w:szCs w:val="19"/>
                <w:color w:val="auto"/>
                <w:vertAlign w:val="superscript"/>
              </w:rPr>
              <w:t>(1)</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w:t>
            </w: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Wabasca </w:t>
            </w:r>
            <w:r>
              <w:rPr>
                <w:rFonts w:ascii="Times New Roman" w:cs="Times New Roman" w:eastAsia="Times New Roman" w:hAnsi="Times New Roman"/>
                <w:sz w:val="19"/>
                <w:szCs w:val="19"/>
                <w:color w:val="auto"/>
                <w:vertAlign w:val="superscript"/>
              </w:rPr>
              <w:t>(1)</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205"/>
        </w:trPr>
        <w:tc>
          <w:tcPr>
            <w:tcW w:w="3340" w:type="dxa"/>
            <w:vAlign w:val="bottom"/>
            <w:gridSpan w:val="2"/>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Red Earth </w:t>
            </w:r>
            <w:r>
              <w:rPr>
                <w:rFonts w:ascii="Times New Roman" w:cs="Times New Roman" w:eastAsia="Times New Roman" w:hAnsi="Times New Roman"/>
                <w:sz w:val="19"/>
                <w:szCs w:val="19"/>
                <w:color w:val="auto"/>
                <w:vertAlign w:val="superscript"/>
              </w:rPr>
              <w:t>(1)</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 Athabasca</w:t>
            </w: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mining</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205"/>
        </w:trPr>
        <w:tc>
          <w:tcPr>
            <w:tcW w:w="3340" w:type="dxa"/>
            <w:vAlign w:val="bottom"/>
            <w:gridSpan w:val="2"/>
            <w:shd w:val="clear" w:color="auto" w:fill="CCEEFF"/>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Conklin </w:t>
            </w:r>
            <w:r>
              <w:rPr>
                <w:rFonts w:ascii="Times New Roman" w:cs="Times New Roman" w:eastAsia="Times New Roman" w:hAnsi="Times New Roman"/>
                <w:sz w:val="19"/>
                <w:szCs w:val="19"/>
                <w:color w:val="auto"/>
                <w:vertAlign w:val="superscript"/>
              </w:rPr>
              <w:t>(1)</w:t>
            </w:r>
          </w:p>
        </w:tc>
        <w:tc>
          <w:tcPr>
            <w:tcW w:w="1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 Athabasca</w:t>
            </w:r>
          </w:p>
        </w:tc>
        <w:tc>
          <w:tcPr>
            <w:tcW w:w="1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mining/in-situ</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0" w:type="dxa"/>
            <w:vAlign w:val="bottom"/>
          </w:tcPr>
          <w:p>
            <w:pPr>
              <w:spacing w:after="0"/>
              <w:rPr>
                <w:sz w:val="1"/>
                <w:szCs w:val="1"/>
                <w:color w:val="auto"/>
              </w:rPr>
            </w:pPr>
          </w:p>
        </w:tc>
      </w:tr>
      <w:tr>
        <w:trPr>
          <w:trHeight w:val="205"/>
        </w:trPr>
        <w:tc>
          <w:tcPr>
            <w:tcW w:w="3340" w:type="dxa"/>
            <w:vAlign w:val="bottom"/>
            <w:tcBorders>
              <w:bottom w:val="single" w:sz="8" w:color="CCEEFF"/>
            </w:tcBorders>
            <w:gridSpan w:val="2"/>
          </w:tcPr>
          <w:p>
            <w:pPr>
              <w:ind w:left="120"/>
              <w:spacing w:after="0" w:line="205" w:lineRule="exact"/>
              <w:rPr>
                <w:sz w:val="20"/>
                <w:szCs w:val="20"/>
                <w:color w:val="auto"/>
              </w:rPr>
            </w:pPr>
            <w:r>
              <w:rPr>
                <w:rFonts w:ascii="Times New Roman" w:cs="Times New Roman" w:eastAsia="Times New Roman" w:hAnsi="Times New Roman"/>
                <w:sz w:val="15"/>
                <w:szCs w:val="15"/>
                <w:color w:val="auto"/>
              </w:rPr>
              <w:t xml:space="preserve">Anzac </w:t>
            </w:r>
            <w:r>
              <w:rPr>
                <w:rFonts w:ascii="Times New Roman" w:cs="Times New Roman" w:eastAsia="Times New Roman" w:hAnsi="Times New Roman"/>
                <w:sz w:val="19"/>
                <w:szCs w:val="19"/>
                <w:color w:val="auto"/>
                <w:vertAlign w:val="superscript"/>
              </w:rPr>
              <w:t>(1)</w:t>
            </w:r>
          </w:p>
        </w:tc>
        <w:tc>
          <w:tcPr>
            <w:tcW w:w="1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S. Athabasca</w:t>
            </w:r>
          </w:p>
        </w:tc>
        <w:tc>
          <w:tcPr>
            <w:tcW w:w="1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in-situ</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526</w:t>
            </w:r>
          </w:p>
        </w:tc>
        <w:tc>
          <w:tcPr>
            <w:tcW w:w="0" w:type="dxa"/>
            <w:vAlign w:val="bottom"/>
          </w:tcPr>
          <w:p>
            <w:pPr>
              <w:spacing w:after="0"/>
              <w:rPr>
                <w:sz w:val="1"/>
                <w:szCs w:val="1"/>
                <w:color w:val="auto"/>
              </w:rPr>
            </w:pPr>
          </w:p>
        </w:tc>
      </w:tr>
      <w:tr>
        <w:trPr>
          <w:trHeight w:val="198"/>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Subtotal – Oil Sands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15,345</w:t>
            </w:r>
          </w:p>
        </w:tc>
        <w:tc>
          <w:tcPr>
            <w:tcW w:w="12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16,247</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15,991</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Sitka Lodge</w:t>
            </w:r>
          </w:p>
        </w:tc>
        <w:tc>
          <w:tcPr>
            <w:tcW w:w="15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Kitimat, BC</w:t>
            </w:r>
          </w:p>
        </w:tc>
        <w:tc>
          <w:tcPr>
            <w:tcW w:w="16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LNG</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689</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961</w:t>
            </w:r>
          </w:p>
        </w:tc>
        <w:tc>
          <w:tcPr>
            <w:tcW w:w="0" w:type="dxa"/>
            <w:vAlign w:val="bottom"/>
          </w:tcPr>
          <w:p>
            <w:pPr>
              <w:spacing w:after="0"/>
              <w:rPr>
                <w:sz w:val="1"/>
                <w:szCs w:val="1"/>
                <w:color w:val="auto"/>
              </w:rPr>
            </w:pPr>
          </w:p>
        </w:tc>
      </w:tr>
      <w:tr>
        <w:trPr>
          <w:trHeight w:val="200"/>
        </w:trPr>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Lodge Rooms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16,034</w:t>
            </w:r>
          </w:p>
        </w:tc>
        <w:tc>
          <w:tcPr>
            <w:tcW w:w="12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17,208</w:t>
            </w:r>
          </w:p>
        </w:tc>
        <w:tc>
          <w:tcPr>
            <w:tcW w:w="100" w:type="dxa"/>
            <w:vAlign w:val="bottom"/>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16,952</w:t>
            </w:r>
          </w:p>
        </w:tc>
        <w:tc>
          <w:tcPr>
            <w:tcW w:w="0" w:type="dxa"/>
            <w:vAlign w:val="bottom"/>
          </w:tcPr>
          <w:p>
            <w:pPr>
              <w:spacing w:after="0"/>
              <w:rPr>
                <w:sz w:val="1"/>
                <w:szCs w:val="1"/>
                <w:color w:val="auto"/>
              </w:rPr>
            </w:pPr>
          </w:p>
        </w:tc>
      </w:tr>
      <w:tr>
        <w:trPr>
          <w:trHeight w:val="195"/>
        </w:trPr>
        <w:tc>
          <w:tcPr>
            <w:tcW w:w="3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5"/>
                <w:szCs w:val="15"/>
                <w:color w:val="auto"/>
              </w:rPr>
              <w:t>Mobile Assets</w:t>
            </w: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2,660</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2,870</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2,979</w:t>
            </w:r>
          </w:p>
        </w:tc>
        <w:tc>
          <w:tcPr>
            <w:tcW w:w="0" w:type="dxa"/>
            <w:vAlign w:val="bottom"/>
          </w:tcPr>
          <w:p>
            <w:pPr>
              <w:spacing w:after="0"/>
              <w:rPr>
                <w:sz w:val="1"/>
                <w:szCs w:val="1"/>
                <w:color w:val="auto"/>
              </w:rPr>
            </w:pPr>
          </w:p>
        </w:tc>
      </w:tr>
      <w:tr>
        <w:trPr>
          <w:trHeight w:val="224"/>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Total Rooms</w:t>
            </w: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18,694</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20,078</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19,931</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left="460" w:hanging="304"/>
        <w:spacing w:after="0" w:line="235" w:lineRule="auto"/>
        <w:tabs>
          <w:tab w:leader="none" w:pos="44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Currently closed as of December 31, 2025, due to lodge loading strategy, seasonal activity fluctuations or low activity level in the region. All closed lodges are periodically assessed for impairment at an asset group level, in accordance with U.S. generally accepted accounting principles. See Note 4 - Impairment Charges to the notes to the consolidated financial statements in Item 8 of this annual report for further discussion.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Hospitality Services at Third-Party Owned Facilities</w:t>
      </w:r>
    </w:p>
    <w:p>
      <w:pPr>
        <w:spacing w:after="0" w:line="24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We also provide hospitality services at customer-owned facilities. Historically, this has been focused around natural resource production-related housing facilities that are owned by oil production companies. The facilities we manage typically range anywhere from 500 to 1,500 rooms. We customize our service offerings depending on our customer’s needs. Hospitality services can be performed on an end-to-end basis with food service, housekeeping, maintenance and utility services included or in segments such as food service only. Our focus on hospitality service contracts has allowed us to successfully pursue food service only opportunities. Due to our experience servicing customer-owned locations, this business complements our overall strategy.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Mobile Assets</w:t>
      </w:r>
    </w:p>
    <w:p>
      <w:pPr>
        <w:spacing w:after="0" w:line="11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mobile assets consist of modular, skid-mounted accommodations and central facilities that can be configured to serve a multitude of short- to medium-term accommodation needs. Dormitory, kitchen and ancillary assets can be rapidly mobilized and demobilized and are scalable to support 200 to 800 people in a single location. In addition to asset rental, we provide hospitality services such as food service and housekeeping, as well as other camp management services. Our mobile assets service the traditional oil and gas sector in Alberta and British Columbia and in-situ oil sands drilling and development operations in Alberta, as well as pipeline construction crews throughout Western Canada. These assets have also been used in the past in disaster relief efforts, the 2010 Vancouver Winter Olympic Games and a variety of other non-energy related projects.</w:t>
      </w:r>
    </w:p>
    <w:p>
      <w:pPr>
        <w:spacing w:after="0" w:line="199"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mobile assets are rented on a per unit basis based on the number of days that a customer utilizes the asset, and, in some cases, involve standby rental arrangements. In cases where we provide food service or ancillary services, the contract can provide for per unit pricing or cost-plus pricing. Customers are also typically responsible for mobilization and demobilization costs. Our focus on hospitality service contracts has allowed us to successfully pursue food service only opportunities. Due to our experience servicing customer-owned facilities, this business easily fits into our overall strategy.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the first quarter of 2023, we sold our accommodation assets in Louisiana, and in the second quarter of 2024, we sold the land at our Louisiana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remaining U.S. business, which supported completion activity in the Bakken, was closed in the fourth quarter of 2024 due to low activity levels.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Community Engagement</w:t>
      </w:r>
    </w:p>
    <w:p>
      <w:pPr>
        <w:spacing w:after="0" w:line="218" w:lineRule="exact"/>
        <w:rPr>
          <w:sz w:val="20"/>
          <w:szCs w:val="20"/>
          <w:color w:val="auto"/>
        </w:rPr>
      </w:pPr>
    </w:p>
    <w:p>
      <w:pPr>
        <w:jc w:val="both"/>
        <w:ind w:firstLine="461"/>
        <w:spacing w:after="0" w:line="245" w:lineRule="auto"/>
        <w:rPr>
          <w:sz w:val="20"/>
          <w:szCs w:val="20"/>
          <w:color w:val="auto"/>
        </w:rPr>
      </w:pPr>
      <w:r>
        <w:rPr>
          <w:rFonts w:ascii="Times New Roman" w:cs="Times New Roman" w:eastAsia="Times New Roman" w:hAnsi="Times New Roman"/>
          <w:sz w:val="17"/>
          <w:szCs w:val="17"/>
          <w:color w:val="auto"/>
        </w:rPr>
        <w:t>In Australia, our community relations program aims to build and maintain a positive social license to operate by consulting and engaging with local regional communities from project inception, through development, construction and operations. This is a major advantage for our business model, as it facilitates consistent communication, engenders trust and builds relationships to last throughout the resource lifecycle. There is an emphasis on developing partnerships that create a long-term sustainable outcome to address specific community needs. To that end, we partner with local municipalities to improve and expand municipal infrastructure. These improvements provide necessary infrastructure, allowing the local communities an opportunity to expand and improve. We also provide support to local community groups through sponsorship and in-kind contributions to local events and initiatives. In addition, all of our food suppliers are Australian companies and, where possible, are based locally. Through our membership with Supply Nation, a non-profit organization committed to supplier diversity and Indigenous business development, we directed approximately A$17.4 million in 2025, up 14% from A$15.3 million in 2024, into Indigenous-owned and operated companies, and we are always looking for more opportunities to partner with these businesses.</w:t>
      </w:r>
    </w:p>
    <w:p>
      <w:pPr>
        <w:spacing w:after="0" w:line="202"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addition, we have five unincorporated joint venture partnerships with Indigenous landowners in Western Australia. Under these agreements, we strive to develop the business capacity, project management skills and expertise of the Indigenous joint venture members, providing local employment opportunities and training. One of the five unincorporated joint venture partnerships entitles Indigenous landowners to a retail profit distribution calculated in accordance with the unincorporated joint venture deeds. Additionally, three of the four remaining agreements incentivize the joint venture members via milestone payments for business objectives achieved.</w:t>
      </w:r>
    </w:p>
    <w:p>
      <w:pPr>
        <w:spacing w:after="0" w:line="200" w:lineRule="exact"/>
        <w:rPr>
          <w:sz w:val="20"/>
          <w:szCs w:val="20"/>
          <w:color w:val="auto"/>
        </w:rPr>
      </w:pPr>
    </w:p>
    <w:p>
      <w:pPr>
        <w:jc w:val="both"/>
        <w:ind w:firstLine="461"/>
        <w:spacing w:after="0" w:line="244" w:lineRule="auto"/>
        <w:rPr>
          <w:sz w:val="20"/>
          <w:szCs w:val="20"/>
          <w:color w:val="auto"/>
        </w:rPr>
      </w:pPr>
      <w:r>
        <w:rPr>
          <w:rFonts w:ascii="Times New Roman" w:cs="Times New Roman" w:eastAsia="Times New Roman" w:hAnsi="Times New Roman"/>
          <w:sz w:val="17"/>
          <w:szCs w:val="17"/>
          <w:color w:val="auto"/>
        </w:rPr>
        <w:t>With a focus on long-term Indigenous community participation, our Canadian operations continue to work closely with a number of First Nations to develop mutually beneficial partnerships focused on revenue sharing, capacity building, employment and community investment and support. For over a decade, our Canadian operations supported Buffalo Metis Catering, a partnership with three Metis communities in the Regional Municipality of Wood Buffalo. Through this partnership, food and housekeeping services were delivered to three of our lodges. Beyond these services, this partnership provided a business incubator environment for a number of Metis business ventures. Our Canadian operations also procure services from a number of other First Nations-owned, Metis-owned and member-owned businesses including water hauling, snow removal and security services. In 2025, we purchased more than C$20.5 million in goods and services from the Indigenous business community, representing 15% of our total Canadian local spending, compared to C$31.3 million in goods and services from the Indigenous business community, representing 16% of our total Canadian local spending in 2024.</w:t>
      </w:r>
    </w:p>
    <w:p>
      <w:pPr>
        <w:spacing w:after="0" w:line="216" w:lineRule="exact"/>
        <w:rPr>
          <w:sz w:val="20"/>
          <w:szCs w:val="20"/>
          <w:color w:val="auto"/>
        </w:rPr>
      </w:pPr>
    </w:p>
    <w:p>
      <w:pPr>
        <w:jc w:val="both"/>
        <w:ind w:firstLine="461"/>
        <w:spacing w:after="0" w:line="245" w:lineRule="auto"/>
        <w:rPr>
          <w:sz w:val="20"/>
          <w:szCs w:val="20"/>
          <w:color w:val="auto"/>
        </w:rPr>
      </w:pPr>
      <w:r>
        <w:rPr>
          <w:rFonts w:ascii="Times New Roman" w:cs="Times New Roman" w:eastAsia="Times New Roman" w:hAnsi="Times New Roman"/>
          <w:sz w:val="17"/>
          <w:szCs w:val="17"/>
          <w:color w:val="auto"/>
        </w:rPr>
        <w:t>In 2024, the Fort McMurray First Nation Economic Development Corporation awarded Civeo with the Eagle Award, for Civeo’s commitment to positively impacting and contributing to the long-term benefits of the members of the Fort McMurray First Nation. In 2021, the Fort McKay Metis community awarded Civeo with the inaugural 2020 Fort McKay Metis National President's Award. This award recognizes people or organizations who make a positive contribution to the well-being of the Metis community. In 2023 and in 2019, our Indigenous partnership initiatives earned Civeo a Gold level Partnership Accreditation in Indigenous Relations certification, by a jury comprised of Indigenous business people, which was supported by an unbiased, independent, third-party verification of our performance.</w:t>
      </w:r>
    </w:p>
    <w:p>
      <w:pPr>
        <w:spacing w:after="0" w:line="211"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2018, Civeo entered into three new Indigenous partnerships in the oil sands region and two new partnerships in British Columbia and, in 2021, Civeo entered into a new partnership in British Columbia. Our partnerships in British Columbia are tied to accommodations contracts secured by Civeo for (i) the Kitimat LNG Facility, (ii) the CGL pipeline project that originates in the North Montney region of north-east British Columbia and (iii) the Trans Mountain expansion project that twins an existing pipeline between Edmonton, Alberta and Burnaby, British Columbia. In 2024, Civeo entered into an agreement with an Indigenous group in Ontario and is currently in the process of developing business opportunities. Beyond revenue sharing, these arrangements provide procurement, employment, training, and ancillary business opportunities for Indigenous owned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Village and Lodge Contracts</w:t>
      </w:r>
    </w:p>
    <w:p>
      <w:pPr>
        <w:spacing w:after="0" w:line="205"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2025, revenues from our villages and lodges represented over 57% of our consolidated revenues. Our contract terms generally provide for a daily rate for a reserved room and an occupied room rate that compensates us for hospitality services, including food service, housekeeping, utilities and maintenance for workers staying in the lodges and villages. In most multi-year contracts, our rates typically have annual escalation provisions to cover increases in labor,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6" w:name="page17"/>
    <w:bookmarkEnd w:id="16"/>
    <w:p>
      <w:pPr>
        <w:jc w:val="both"/>
        <w:spacing w:after="0" w:line="262" w:lineRule="auto"/>
        <w:rPr>
          <w:sz w:val="20"/>
          <w:szCs w:val="20"/>
          <w:color w:val="auto"/>
        </w:rPr>
      </w:pPr>
      <w:r>
        <w:rPr>
          <w:rFonts w:ascii="Times New Roman" w:cs="Times New Roman" w:eastAsia="Times New Roman" w:hAnsi="Times New Roman"/>
          <w:sz w:val="17"/>
          <w:szCs w:val="17"/>
          <w:color w:val="auto"/>
        </w:rPr>
        <w:t>food and consumables costs over the contract term. In some contracts, customers have a contractual right to terminate, for reasons other than a breach, in exchange for a termination fee. Our customers typically contract for hospitality services under contracts with terms that range from several months to twelve years. The contracts expire throughout the year, and for many of the near-term expirations, we are in the process of negotiating extensions or new commitments. We cannot assure that we can renew existing contracts or obtain new business on the same or better terms, if at all.</w:t>
      </w:r>
    </w:p>
    <w:p>
      <w:pPr>
        <w:spacing w:after="0" w:line="190" w:lineRule="exact"/>
        <w:rPr>
          <w:sz w:val="20"/>
          <w:szCs w:val="20"/>
          <w:color w:val="auto"/>
        </w:rPr>
      </w:pPr>
    </w:p>
    <w:p>
      <w:pPr>
        <w:jc w:val="both"/>
        <w:ind w:firstLine="4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Long-Term Take-or-Pay Contracts</w:t>
      </w:r>
      <w:r>
        <w:rPr>
          <w:rFonts w:ascii="Times New Roman" w:cs="Times New Roman" w:eastAsia="Times New Roman" w:hAnsi="Times New Roman"/>
          <w:sz w:val="17"/>
          <w:szCs w:val="17"/>
          <w:color w:val="auto"/>
        </w:rPr>
        <w:t>. Over the term of a take-or-pay contract, the customer commits to either a minimum number of rooms over a specified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period or an aggregate number of room nights over the period, generally for terms greater than 12 months. During the year ended December 31, 2025, we billed approximately 2.5 million room nights under our long-term take-or-pay contracts, which represented approximately 57% of our total billed rooms, which included 0.4 million room nights in excess of the take-or-pay minimums. For the year ending December 31, 2026, we have commitments for 1.9 million room nights under our long-term take-or-pay contracts.</w:t>
      </w:r>
    </w:p>
    <w:p>
      <w:pPr>
        <w:spacing w:after="0" w:line="179" w:lineRule="exact"/>
        <w:rPr>
          <w:sz w:val="20"/>
          <w:szCs w:val="20"/>
          <w:color w:val="auto"/>
        </w:rPr>
      </w:pPr>
    </w:p>
    <w:p>
      <w:pPr>
        <w:jc w:val="both"/>
        <w:ind w:firstLine="461"/>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Short-Term Take-or-Pay Contracts. </w:t>
      </w:r>
      <w:r>
        <w:rPr>
          <w:rFonts w:ascii="Times New Roman" w:cs="Times New Roman" w:eastAsia="Times New Roman" w:hAnsi="Times New Roman"/>
          <w:sz w:val="17"/>
          <w:szCs w:val="17"/>
          <w:color w:val="auto"/>
        </w:rPr>
        <w:t>Customers may contract with us on a take-or-pay basis for less than 12 months, particularly for turnaround projects.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Similar to long-term take-or-pay contracts, the customer commits to either a minimum number of rooms over a specified period or an aggregate number of room nights over the period. During the year ended December 31, 2025, we billed approximately 0.3 million room nights under our short-term take-or-pay contracts. For the year ending December 31, 2026, we have commitments for 0.1 million room nights under our short-term take-or-pay contracts.</w:t>
      </w:r>
    </w:p>
    <w:p>
      <w:pPr>
        <w:spacing w:after="0" w:line="188"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Exclusivity Contracts. </w:t>
      </w:r>
      <w:r>
        <w:rPr>
          <w:rFonts w:ascii="Times New Roman" w:cs="Times New Roman" w:eastAsia="Times New Roman" w:hAnsi="Times New Roman"/>
          <w:sz w:val="17"/>
          <w:szCs w:val="17"/>
          <w:color w:val="auto"/>
        </w:rPr>
        <w:t>Over the term of an exclusivity contract, rather than receiving a minimum room commitment, we are the exclusive hospitality service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provider for the customer's employees working on a specific project or projects. During the year ended December 31, 2025, we billed approximately 1.3 million room nights under our exclusivity contracts.</w:t>
      </w:r>
    </w:p>
    <w:p>
      <w:pPr>
        <w:spacing w:after="0" w:line="171" w:lineRule="exact"/>
        <w:rPr>
          <w:sz w:val="20"/>
          <w:szCs w:val="20"/>
          <w:color w:val="auto"/>
        </w:rPr>
      </w:pPr>
    </w:p>
    <w:p>
      <w:pPr>
        <w:jc w:val="both"/>
        <w:ind w:firstLine="461"/>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Casual / Walk-ins. </w:t>
      </w:r>
      <w:r>
        <w:rPr>
          <w:rFonts w:ascii="Times New Roman" w:cs="Times New Roman" w:eastAsia="Times New Roman" w:hAnsi="Times New Roman"/>
          <w:sz w:val="17"/>
          <w:szCs w:val="17"/>
          <w:color w:val="auto"/>
        </w:rPr>
        <w:t>Customers without long-term committed contracts may utilize lodge/village rooms via short-term bookings at lodge/village casual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agreed rates. During the year ended December 31, 2025, we billed approximately 0.3 million room nights to casual or walk-in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Integrated Services Contracts</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2025, revenues from our customer-owned locations represented 43% of our consolidated revenues. Our contract terms generally provide a rate on a per guest per day basis for hospitality services, including food service and housekeeping. Similar to our owned lodge and villages contracts, in most multi-year contracts, our rates typically have annual escalation provisions to cover increases in labor, food and consumables costs over the contract term.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 of Operations</w:t>
      </w:r>
    </w:p>
    <w:p>
      <w:pPr>
        <w:spacing w:after="0" w:line="21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operations are directly affected by seasonal weather. During the Australian rainy season between November and April, our operations in Queensland and the northern parts of Western Australia can be affected by cyclones, monsoons and resultant flooding. A portion of our Canadian operations is conducted during the winter months when the winter freeze in remote regions is required for customers’ activity to occur. The spring thaw in these frontier regions restricts operations in the second quarter and adversely affects our customers' operations and our ability to provide services. Customers’ maintenance activities in the oil sands region, such as shutdown and turnaround activity, are typically performed in the second and third quarters annually. Our Canadian operations have also been impacted by forest fires and flooding in the past five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believe that our employees are one of our greatest resources. As of December 31, 2025, we had approximately 2,100 full-time employees and approximately 600 hourly employees. On a consolidated basis, 76% of our employees are located in Australia, 23% are located in Canada and 1% are located in the U.S. We were party to collective bargaining agreements covering 491 employees located in Canada and 1,609 employees located in Australia as of December 31, 2025.</w:t>
      </w:r>
    </w:p>
    <w:p>
      <w:pPr>
        <w:spacing w:after="0" w:line="19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As a company, we acknowledge the significance of a workforce composed of individuals from various backgrounds, experiences, and perspectives. As many of our projects in Canada and Australia operate in traditional territories, we work closely with Indigenous communities to actively explore mutually beneficial investment, employment and business opportunities. Our ability to cultivate and strengthen relationships with Indigenous communities is vital to the success of our business.</w:t>
      </w:r>
    </w:p>
    <w:p>
      <w:pPr>
        <w:spacing w:after="0" w:line="19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strive to offer competitive compensation, benefits and services that meet the needs of our employees, including short- and long-term incentive packages, various defined contribution plans, healthcare benefits, and wellness and employee assistance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auto"/>
        </w:rPr>
        <w:t>programs. Management monitors market compensation and benefits in order to attract, retain, and promote employees and reduce turnover and its associated costs.</w:t>
      </w:r>
    </w:p>
    <w:p>
      <w:pPr>
        <w:spacing w:after="0" w:line="24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Safety is central to Civeo’s corporate culture. We are committed to operating in a safe, secure and responsible manner for the benefit of our employees, customers and the communities we serve. Our commitment to safeguarding employees, contractors, and guests is demonstrated through our employee-named "Making Zero Count" initiative, which emphasizes the importance of eliminating harm and focuses on the processes required to achieve exceptional performance.</w:t>
      </w:r>
    </w:p>
    <w:p>
      <w:pPr>
        <w:spacing w:after="0" w:line="193"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At Civeo, we believe that investing in our employees is fundamental to our success. Our commitment to training and career development enables employees to grow and advance in their careers while supporting our industry-leadership position. Committed to the continuous improvement of our team, we prioritize the development of our workforce’s technical and managerial competencies, with an emphasis on safety, customer service, and leadership development. Our learning and development program encompasses a range of learning modalities, including e-learning modules, in-person training sessions, nationally certified programs and licensed training provided by external partners.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44"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business is significantly affected by Australian and Canadian laws and regulations at the federal, provincial, state and local levels relating to the oil, natural gas and mining industries, worker safety and environmental protection. Changes in these laws, including more stringent regulations and increased levels of enforcement of these laws and regulations, and the development of new laws and regulations could significantly affect our business and result in:</w:t>
      </w:r>
    </w:p>
    <w:p>
      <w:pPr>
        <w:spacing w:after="0" w:line="193" w:lineRule="exact"/>
        <w:rPr>
          <w:sz w:val="20"/>
          <w:szCs w:val="20"/>
          <w:color w:val="auto"/>
        </w:rPr>
      </w:pPr>
    </w:p>
    <w:p>
      <w:pPr>
        <w:ind w:left="620" w:hanging="310"/>
        <w:spacing w:after="0" w:line="262" w:lineRule="auto"/>
        <w:tabs>
          <w:tab w:leader="none" w:pos="61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difficulty securing required permits, approvals, licenses or other authorizations issued by federal, provincial and local authorities needed to carry out our operations or our customers' operations;</w:t>
      </w: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compliance costs or additional operating restrictions associated with our operations or our customers’ operations;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increased costs to our business or our customers’ business;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demand for oil, natural gas, and other natural resources that our customers produce;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demand for our services.</w:t>
      </w:r>
    </w:p>
    <w:p>
      <w:pPr>
        <w:spacing w:after="0" w:line="197"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To the extent that these laws and regulations impose more stringent requirements or increased costs or delays upon our customers in the performance of their operations, the resulting demand for our services by those customers may be adversely affected, which impact could be significant and long-lasting. Moreover, climate change laws or regulations could increase the cost of consuming, and thereby reduce demand for, oil and natural gas, which could reduce our customers’ demand for our services. We cannot predict changes in the level of enforcement of existing laws and regulations, how these laws and regulations may be interpreted or the effect changes in these laws and regulations may have on us or our customers or on our future operations or earnings. We also are not able to predict the extent to which new laws and regulations will be adopted or whether such new laws and regulations may impose more stringent or costly restrictions on our customers or our operations.</w:t>
      </w:r>
    </w:p>
    <w:p>
      <w:pPr>
        <w:spacing w:after="0" w:line="179"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Our operations and the operations of our customers are subject to numerous stringent and comprehensive foreign, federal, provincial, state and local environmental laws and regulations governing the release or discharge of materials into the environment or otherwise relating to environmental protection. Numerous governmental agencies issue regulations to implement and enforce these laws, for which compliance is often costly yet critical. The violation of these laws and regulations may result in the denial or revocation of permits, issuance of corrective action orders, modification or cessation of operations, assessment of administrative and civil penalties, and even criminal prosecution. Although we do not anticipate that future compliance with existing environmental laws and regulations will have a material effect on our financial condition, results of operations or cash flows over the short term, there can be no assurance that substantial costs for compliance or penalties for non-compliance with these existing requirements will not be incurred in the future by us or our customers. Moreover, it is possible that other developments, such as the adoption of stricter environmental laws, regulations and enforcement policies or more stringent enforcement of existing environmental laws and regulations, could result in additional costs or liabilities upon us or our customers that we cannot currently quantify.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Australian Environmental Regulations</w:t>
      </w:r>
    </w:p>
    <w:p>
      <w:pPr>
        <w:spacing w:after="0" w:line="21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Australian segment is regulated by statutory environmental and land use controls at the federal, state and territory and local government levels which may result in land use approval, regulation of operations and compliance risk. These controls include: land use and urban design controls; controls to protect Australia’s natural environment, iconic places and Aboriginal and Torres Strait islander native title and heritage; the regulation of hard and liquid waste, including the requirement for trade waste and/or wastewater permits or licenses; the regulation of water, noise, heat, and atmospheric gases emissions; the regulation of the production, transport and storage of dangerous and hazardous materials (including asbestos); the regulation of pollution and site contamination and requirements to notify of and clean-up environmental contamination.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Controls</w:t>
      </w:r>
    </w:p>
    <w:p>
      <w:pPr>
        <w:spacing w:after="0" w:line="24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At a federal level, the Environment Protection and Biodiversity Conservation Act 1999 (EPBC Act) is Australia’s key piece of environmental legislation. The EPBC Act protects 9 types of matters of national environmental significance, including threatened species and communities (e.g. Koalas), migratory species, Ramsar wetlands and world heritage places. Activities that have the potential to impact matters protected by the EPBC Act trigger referral to the federal government for assessment and approval.</w:t>
      </w:r>
    </w:p>
    <w:p>
      <w:pPr>
        <w:spacing w:after="0" w:line="19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In October 2020, the findings of an independent review of the EPBC Act (Independent Review) recommended significant and fundamental reforms be made to that act.</w:t>
      </w:r>
    </w:p>
    <w:p>
      <w:pPr>
        <w:spacing w:after="0" w:line="17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In November 2025, federal Parliament passed a reform package which would effect significant amendments to the EPBC Act. These amendments are intended to implement core recommendations from the Independent Review and include amendments to: facilitate the establishment of a framework for the Minister to make, vary and revoke national environmental standards; facilitate the establishment of Australia’s first independent National Environmental Protection Agency; introduce a requirement for projects that have significant impacts on matters of national environmental significance to achieve a net positive outcome; requirements for proponents of major projects to disclose expected GHG emissions (and provide plans for how they intend to reduce those emissions); facilitate more robust and efficient project assessments, including through the introduction of bioregional plans (that provide a landscape/seascape scale approach to environmental planning) and increase penalties for individuals and corporations for breaches of the EPBC Act. The full suite of amendments are expected to take effect by the end of November 2026.</w:t>
      </w:r>
    </w:p>
    <w:p>
      <w:pPr>
        <w:spacing w:after="0" w:line="201"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amendments do not have retrospective effect and will apply to future projects only. We have reviewed and, once the reforms take effect, will continue to review, our obligations under, and compliance with, the EPBC Act. However, the implications for our Australian operations are not anticipated to be significant.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They may, however, affect our customers’ operations and have impacts on the non-renewable resources sector generally.</w:t>
      </w:r>
    </w:p>
    <w:p>
      <w:pPr>
        <w:spacing w:after="0" w:line="24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There is an increasing emphasis from regulators on sustainability and energy efficiency in business operations. Federal requirements are in place for the mandatory disclosure of energy performance under building rating schemes. These schemes require the tracking of specific environmental performance factors. Carbon reporting requirements currently exist for corporations which meet a reporting threshold for GHG or energy use or production for a reporting (financial) year under federal legislation.</w:t>
      </w:r>
    </w:p>
    <w:p>
      <w:pPr>
        <w:spacing w:after="0" w:line="19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From July 1, 2023, obligations and reporting requirements took effect with respect to the ‘Safeguard Mechanism’ – Australia’s policy for reducing emissions from facilities that emit more than 100,000t CO2-e per financial year that has been in place since 2016. These requirements are intended to assist Australia meet its emissions reduction targets of 43% below 2005 levels by 2030 and net zero by 2050 and affect large scale industry customers.</w:t>
      </w:r>
    </w:p>
    <w:p>
      <w:pPr>
        <w:spacing w:after="0" w:line="19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are required to comply with mandatory climate-related disclosures in compliance with Australian Accounting Standard Board S2 Climate-related Disclosures (“AASB S2”) of the Australian Sustainability Reporting Standards (“ASRS”).”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and Territory Controls</w:t>
      </w:r>
    </w:p>
    <w:p>
      <w:pPr>
        <w:spacing w:after="0" w:line="24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At a State and Territory level, our operations are authorized and regulated by layers of planning and environmental approvals. Queensland, New South Wales and Western Australia all have multiple acts regulating matters of the environment, conservation, vegetation management and protection of aboriginal and Torres Strait Islander use rights which are administered by each States’ independent environment protection regulator (e.g. Queensland’s Department of Environment, Tourism, Science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9" w:name="page20"/>
    <w:bookmarkEnd w:id="19"/>
    <w:p>
      <w:pPr>
        <w:jc w:val="both"/>
        <w:spacing w:after="0" w:line="284" w:lineRule="auto"/>
        <w:rPr>
          <w:sz w:val="20"/>
          <w:szCs w:val="20"/>
          <w:color w:val="auto"/>
        </w:rPr>
      </w:pPr>
      <w:r>
        <w:rPr>
          <w:rFonts w:ascii="Times New Roman" w:cs="Times New Roman" w:eastAsia="Times New Roman" w:hAnsi="Times New Roman"/>
          <w:sz w:val="17"/>
          <w:szCs w:val="17"/>
          <w:color w:val="auto"/>
        </w:rPr>
        <w:t>Innovation). The States and Territories also have power to assess some larger projects in conjunction with the federal government under bilateral agreements established pursuant to the EPBC Act.</w:t>
      </w:r>
    </w:p>
    <w:p>
      <w:pPr>
        <w:spacing w:after="0" w:line="17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Under state law, some specified activities, such as sewage treatment at our sites, may require regulation by way of environmental approvals. Such approvals may also impose monitoring and reporting obligations on the holder as well as obligations to rehabilitate the subject site once the regulated activity has ceased.</w:t>
      </w:r>
    </w:p>
    <w:p>
      <w:pPr>
        <w:spacing w:after="0" w:line="17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must ensure that all necessary approvals, permits and licenses are in place to authorize our operations and that the conditions of those approvals, permits and licenses are complied with until the relevant operations cease (and are cleaned-up if necessary). Where approvals are not held and/or complied with, the operation may be unlawful and subject to penalties, including stop-work orders, remediation orders and financial penalties. Our Australian operations continue to comply with our existing approvals, permits and licenses.</w:t>
      </w:r>
    </w:p>
    <w:p>
      <w:pPr>
        <w:spacing w:after="0" w:line="19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have a positive obligation under state legislation to notify of an incident causing (or threatening) serious or material environmental harm. Examples of notifiable environmental harm include effluent overflow, chemical leaks and chemical fires. Failure to discharge this obligation can attract significant sanctions and financial penalties.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Local Government</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At a local government level, our operations are subject to, and regulated by, local laws administered by local government authorities. Local laws may cover matters such as operation of certain activities, management of vegetation and natural and anthropogenic hazards, actionable nuisance and fencing. Local laws differ between each local government area and we must understand and operate within these laws as they apply to our operations Australia wide.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Canadian Environmental Regulations</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In Canada, the federal and provincial governments both have jurisdiction to regulate environmental matters. The provincial governments may also devolve jurisdiction over environmental matters to local governments. Our activities, or those of our customers, may be subject to environmental regulations imposed by these three levels of government. The following addresses updates to Canadian federal and provincial environmental regulations in 2025 that may affect us or our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Proposed Oil Sands Mining Effluent Regulations</w:t>
      </w:r>
    </w:p>
    <w:p>
      <w:pPr>
        <w:spacing w:after="0" w:line="24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Oil sands mines use hot water to separate bitumen from sand. Oil sands operators then store this process-affected water in large tailings ponds. In the tailings ponds, the fine suspended particles separate out and fall to the bottom. The process-affected water is then reused. Currently, oil sands mining operators are unable to discharge treated process-affected water and must maintain such water in on-site storage facilities. Oil sands operators have indicated a need to discharge that process-affected water as a result of storage constraints and reclamation obligations. Regulations are being proposed to allow treated process-affected water to be released back into the Athabasca River system.</w:t>
      </w:r>
    </w:p>
    <w:p>
      <w:pPr>
        <w:spacing w:after="0" w:line="200"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February 2025, Environment and Climate Change Canada released a discussion paper outlining potential regulations for managing process-affected water. Industry representatives expressed concern that the proposed regulations would cause delays because of regulatory uncertainty and put capital decisions at risk. Industry representatives called for regulation by 2025 to reduce uncertainty, but no definitive plans have been announced by the Government of Canada. However, as of the beginning of 2026, draft regulations have not been published. The absence of a regulatory framework permitting the release of process-affected water from oil sands operations, or a regulatory framework that is more stringent than what may be anticipated by our customers could affect their development plans or result in additional costs or liabilities for our customers’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Proposed Emissions Cap</w:t>
      </w:r>
    </w:p>
    <w:p>
      <w:pPr>
        <w:spacing w:after="0" w:line="24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November 2024, Canada announced the latest version of the proposed Oil and Gas Sector Greenhouse Gas Emissions Cap Regulations (the Proposed Emissions Cap). The Proposed Emissions Cap aims to use a cap-and-trade system to reduce emissions by 35% below 2019 levels by 2030. The Government of Alberta and the oil and gas industry oppose the Proposed Emissions Cap and argue that it serves as a de facto production cap. On November 27, 2025, the Governments of Canada and Alberta agreed to the Canada-Alberta Memorandum of Understanding (MOU). Pursuant to the MOU, Canada committed to not implement the Proposed Emissions Cap.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Air Quality Management</w:t>
      </w:r>
    </w:p>
    <w:p>
      <w:pPr>
        <w:spacing w:after="0" w:line="24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Government of Canada, the Government of Alberta, and the Government of British Columbia each have frameworks for air quality management that may affect us and our customers.</w:t>
      </w:r>
    </w:p>
    <w:p>
      <w:pPr>
        <w:spacing w:after="0" w:line="178"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At the federal level, the Reduction in the Release of Volatile Organic Compounds Regulations (Petroleum Sector) were published in 2020 and have not been amended since January 2023. Certain leak detection and repair provisions of the regulations took effect beginning in 2021 and the regulations set additional monitoring and requirements for operators in 2022 and 2023. These regulations require the implementation of comprehensive leak detection and repair (LDAR) programs as well as design and operating standards that prevent leaks at Canadian petroleum refineries, upgraders and certain petrochemical facilities and may affect our customers’ operations.</w:t>
      </w:r>
    </w:p>
    <w:p>
      <w:pPr>
        <w:spacing w:after="0" w:line="200"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 xml:space="preserve">In addition to federal requirements, emissions from facilities in Alberta are subject to provincial regulation. The Alberta Energy Regulator (AER), which is responsible for regulating upstream oil and gas activity in Alberta and oversees compliance with </w:t>
      </w:r>
      <w:r>
        <w:rPr>
          <w:rFonts w:ascii="Times New Roman" w:cs="Times New Roman" w:eastAsia="Times New Roman" w:hAnsi="Times New Roman"/>
          <w:sz w:val="17"/>
          <w:szCs w:val="17"/>
          <w:i w:val="1"/>
          <w:iCs w:val="1"/>
          <w:color w:val="auto"/>
        </w:rPr>
        <w:t>Directive 060: Upstream Petroleum Industry Flaring, Incinerating,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and Venting </w:t>
      </w:r>
      <w:r>
        <w:rPr>
          <w:rFonts w:ascii="Times New Roman" w:cs="Times New Roman" w:eastAsia="Times New Roman" w:hAnsi="Times New Roman"/>
          <w:sz w:val="17"/>
          <w:szCs w:val="17"/>
          <w:color w:val="auto"/>
        </w:rPr>
        <w:t>(Directive 060). Directive 060 was last updated in June 2025 and applies to all upstream petroleum industry wells, facilities and pipelines as well as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oil sands schemes and operations with the exception of oil sands mining. Directive 060 requires operators to eliminate or reduce flaring associated with a wide variety of energy development activities and operations. In December 2018, the AER finalized amendments to Directive 060 and </w:t>
      </w:r>
      <w:r>
        <w:rPr>
          <w:rFonts w:ascii="Times New Roman" w:cs="Times New Roman" w:eastAsia="Times New Roman" w:hAnsi="Times New Roman"/>
          <w:sz w:val="17"/>
          <w:szCs w:val="17"/>
          <w:i w:val="1"/>
          <w:iCs w:val="1"/>
          <w:color w:val="auto"/>
        </w:rPr>
        <w:t>Directive 017: Measurement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Requirements for Oil and Gas Operations </w:t>
      </w:r>
      <w:r>
        <w:rPr>
          <w:rFonts w:ascii="Times New Roman" w:cs="Times New Roman" w:eastAsia="Times New Roman" w:hAnsi="Times New Roman"/>
          <w:sz w:val="17"/>
          <w:szCs w:val="17"/>
          <w:color w:val="auto"/>
        </w:rPr>
        <w:t>(Directive 017) as part of its role in implementing commitments from the Alberta government to reduce methane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emissions from upstream oil and gas operations by 45% by 2025. Alberta achieved this goal in 2022, three years ahead of schedule. These requirements, among other things, set limits on methane emissions from various facilities and require annual reporting of such emissions to the AER. Directive 060's methane reduction requirements took effect in 2020, with additional vent gas limits introduced on January 1, 2022, followed by more stringent limits on January 1, 2023. On June 19, 2025, Directive 060 was updated to remove the solution gas flaring limit in section 4.1 while maintaining all other regulatory tools in Directive 060. Meeting these regulatory requirements may result in additional costs or liabilities for our customers’ operations.</w:t>
      </w:r>
    </w:p>
    <w:p>
      <w:pPr>
        <w:spacing w:after="0" w:line="208"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 xml:space="preserve">Similarly, emissions from facilities in British Columbia are also subject to provincial regulation. The British Columbia Energy Regulator (BCER) is responsible for regulating oil and gas activity in British Columbia. BCER oversees compliance with the Drilling and Production Regulation, which is one of British Columbia's primary regulatory instruments governing all aspects of oil and natural gas drilling and production. Effective January 1, 2020, the regulation was amended to require operators to eliminate or reduce natural gas leaking or venting associated with a wide variety of equipment and activities in energy development. Under this regulation, requirements are imposed for facilities detecting leaks and inspecting seals as well as restrictions or prohibitions on the types of equipment used for energy development. Some of these requirements took effect in 2022 and further requirements took effect on January 1, 2023. In addition, the BCER completed consultation in 2023 on proposed amendments to the Drilling and Production Regulation to maintain equivalency with federal requirements. Regulations designed to achieve a 45% reduction in methane emissions relative to 2014 levels by 2025 are now in place. The BCER is currently conducting a regulatory review and engagement on the development of new regulations designed to achieve a 75% reduction in methane emissions from the oil and gas sector by 2030 relative to 2014 levels. The </w:t>
      </w:r>
      <w:r>
        <w:rPr>
          <w:rFonts w:ascii="Times New Roman" w:cs="Times New Roman" w:eastAsia="Times New Roman" w:hAnsi="Times New Roman"/>
          <w:sz w:val="17"/>
          <w:szCs w:val="17"/>
          <w:i w:val="1"/>
          <w:iCs w:val="1"/>
          <w:color w:val="auto"/>
        </w:rPr>
        <w:t>Drilling and Production Regulation</w:t>
      </w:r>
      <w:r>
        <w:rPr>
          <w:rFonts w:ascii="Times New Roman" w:cs="Times New Roman" w:eastAsia="Times New Roman" w:hAnsi="Times New Roman"/>
          <w:sz w:val="17"/>
          <w:szCs w:val="17"/>
          <w:color w:val="auto"/>
        </w:rPr>
        <w:t xml:space="preserve"> was updated in 2025 to tighten natural gas venting from commodity unloading and surface casing venting and introduce stricter leak detection and repair (LDAR) standards. Meeting these increased regulatory requirements may result in additional costs or liabilities for our customers’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Assessment of Major Projects</w:t>
      </w:r>
    </w:p>
    <w:p>
      <w:pPr>
        <w:spacing w:after="0" w:line="242"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Impact Assessment Act</w:t>
      </w:r>
      <w:r>
        <w:rPr>
          <w:rFonts w:ascii="Times New Roman" w:cs="Times New Roman" w:eastAsia="Times New Roman" w:hAnsi="Times New Roman"/>
          <w:sz w:val="17"/>
          <w:szCs w:val="17"/>
          <w:color w:val="auto"/>
        </w:rPr>
        <w:t xml:space="preserve"> (IAA) came into force in August 2019. The IAA and its subordinate legislation apply to the development of many large projects, including oil sands mining and in situ projects, mining projects, pipelines, and other large developments. One of the stated objectives of the IAA was to shorten review times for projects. However, concerns about lengthy reviews that require substantial information from project proponents remain even after the implementation of the IAA. Our customers operate in the aforementioned industries and could be considering future projects that would be subject to the IAA.</w:t>
      </w:r>
    </w:p>
    <w:p>
      <w:pPr>
        <w:spacing w:after="0" w:line="19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Government of Alberta, supported by the governments of Ontario and Saskatchewan, challenged the constitutionality of the IAA. In October 2023, the Supreme Court of Canada ruled that a large portion of the IAA was unconstitutional because it infringed upon areas of provincial jurisdiction. In June 2024, the federal government significantly amended the IAA. Changes included narrowing the scope of federal responsibility, increasing cooperation between federal and provincial governments, and providing an interim plan to smooth the transition from the old IAA to the amended IAA.</w:t>
      </w:r>
    </w:p>
    <w:p>
      <w:pPr>
        <w:spacing w:after="0" w:line="19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Despite the amendments, the Government of Alberta has challenged whether the amended IAA is constitutional, and the matter is currently before the courts. Accordingly, there remains significant uncertainty about the future impact of Canada's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1" w:name="page22"/>
    <w:bookmarkEnd w:id="21"/>
    <w:p>
      <w:pPr>
        <w:jc w:val="both"/>
        <w:spacing w:after="0" w:line="267" w:lineRule="auto"/>
        <w:rPr>
          <w:sz w:val="20"/>
          <w:szCs w:val="20"/>
          <w:color w:val="auto"/>
        </w:rPr>
      </w:pPr>
      <w:r>
        <w:rPr>
          <w:rFonts w:ascii="Times New Roman" w:cs="Times New Roman" w:eastAsia="Times New Roman" w:hAnsi="Times New Roman"/>
          <w:sz w:val="17"/>
          <w:szCs w:val="17"/>
          <w:color w:val="auto"/>
        </w:rPr>
        <w:t>federal environmental assessment legislation on our customers. To the extent our customers are required to comply with this legislation, it is possible that the uncertainty regarding cost and timelines for navigating the planning, assessment, and decision-making processes may negatively impact our customers' decisions on whether to proceed with those projects.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Regulation</w:t>
      </w:r>
    </w:p>
    <w:p>
      <w:pPr>
        <w:spacing w:after="0" w:line="24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Scientific studies have suggested that emissions of GHG, including carbon dioxide and methane, may be contributing to warming of the Earth’s atmosphere and other climatic changes. In December 2015, 196 countries, including Canada, Australia and the U.S., adopted the Paris Agreement at the 2015 United Nations Climate Change Conference. The stated goal of the Paris Agreement is to hold “the increase in the global average temperature to well below 2°C above pre-industrial levels” and pursue efforts “to limit the temperature increase to 1.5°C above pre-industrial levels.” To reach these goals, the Paris Agreement requires parties to submit Nationally Determined Contributions (NDCs) which set out their emission reduction targets. NDCs are updated every five years with increasingly ambitious targets.</w:t>
      </w:r>
    </w:p>
    <w:p>
      <w:pPr>
        <w:spacing w:after="0" w:line="199"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 xml:space="preserve">In March 2016, the governments of Canada and the U.S. jointly announced their intention to take action to reduce methane emissions from the oil and gas sector in an effort to meet their respective NDCs pursuant to the Paris Agreement. For its part, Canada announced its intention to reduce methane emissions from the oil and gas sector by 40-45 percent below 2012 levels by 2025. Canada is on track to meet this target. In 2018, Canada introduced the </w:t>
      </w:r>
      <w:r>
        <w:rPr>
          <w:rFonts w:ascii="Times New Roman" w:cs="Times New Roman" w:eastAsia="Times New Roman" w:hAnsi="Times New Roman"/>
          <w:sz w:val="17"/>
          <w:szCs w:val="17"/>
          <w:i w:val="1"/>
          <w:iCs w:val="1"/>
          <w:color w:val="auto"/>
        </w:rPr>
        <w:t>Regulations Respecting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Reduction in the Release of Methane and Certain Volatile Organic Compounds (Upstream Oil and Gas Sector) </w:t>
      </w:r>
      <w:r>
        <w:rPr>
          <w:rFonts w:ascii="Times New Roman" w:cs="Times New Roman" w:eastAsia="Times New Roman" w:hAnsi="Times New Roman"/>
          <w:sz w:val="17"/>
          <w:szCs w:val="17"/>
          <w:color w:val="auto"/>
        </w:rPr>
        <w:t>(Federal Methane Regulations) to implement its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methane commitment. The Federal Methane Regulations impose various quantity-based limits on the venting of natural gas (or in the case of well completions involving hydraulic fracturing, a ban on such venting) and include associated conservation, measurement, inspection, and corrective action requirements. Certain requirements of the Federal Methane Regulations came into effect January 1, 2020, and other emissions limits are now in place for certain equipment installed on or after January 1, 2023. On December 12, 2025, Canada announced amendments to the Federal Methane Regulations which will impose stricter methane controls on regulated oil and gas facilities, including enhanced management of fugitive emissions, prohibitions on venting, limits on hydrocarbon gas destruction, and mandatory inspection and maintenance programs. The amendments will apply to new facilities beginning in 2028 and all facilities by 2030. The amendments will require the federal government to reassess its equivalency agreements with BC and Alberta. Absent new agreements, oil and gas facilities in those provinces may be subject to the federal Methane Regulations in 2028 which may negatively impact our customers' operations.</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 xml:space="preserve">In 2018, the federal government enacted the </w:t>
      </w:r>
      <w:r>
        <w:rPr>
          <w:rFonts w:ascii="Times New Roman" w:cs="Times New Roman" w:eastAsia="Times New Roman" w:hAnsi="Times New Roman"/>
          <w:sz w:val="17"/>
          <w:szCs w:val="17"/>
          <w:i w:val="1"/>
          <w:iCs w:val="1"/>
          <w:color w:val="auto"/>
        </w:rPr>
        <w:t>Greenhouse Gas Pollution Pricing Act</w:t>
      </w:r>
      <w:r>
        <w:rPr>
          <w:rFonts w:ascii="Times New Roman" w:cs="Times New Roman" w:eastAsia="Times New Roman" w:hAnsi="Times New Roman"/>
          <w:sz w:val="17"/>
          <w:szCs w:val="17"/>
          <w:color w:val="auto"/>
        </w:rPr>
        <w:t xml:space="preserve"> (GGPPA), which came into force on January 1, 2019. This regime has two parts: a regulatory fuel charge on consumers for gasoline and diesel; and an output-based carbon pricing system for large industrial emitters. The regulatory fuel charge on consumers for gasoline and diesel was removed by the federal government effective April 1, 2025.</w:t>
      </w:r>
    </w:p>
    <w:p>
      <w:pPr>
        <w:spacing w:after="0" w:line="183" w:lineRule="exact"/>
        <w:rPr>
          <w:sz w:val="20"/>
          <w:szCs w:val="20"/>
          <w:color w:val="auto"/>
        </w:rPr>
      </w:pPr>
    </w:p>
    <w:p>
      <w:pPr>
        <w:jc w:val="both"/>
        <w:ind w:firstLine="461"/>
        <w:spacing w:after="0" w:line="243" w:lineRule="auto"/>
        <w:rPr>
          <w:sz w:val="20"/>
          <w:szCs w:val="20"/>
          <w:color w:val="auto"/>
        </w:rPr>
      </w:pPr>
      <w:r>
        <w:rPr>
          <w:rFonts w:ascii="Times New Roman" w:cs="Times New Roman" w:eastAsia="Times New Roman" w:hAnsi="Times New Roman"/>
          <w:sz w:val="17"/>
          <w:szCs w:val="17"/>
          <w:color w:val="auto"/>
        </w:rPr>
        <w:t xml:space="preserve">The second part of the regime serves as a "backstop" and applies to provinces and territories that request it and to those that do not have their own carbon emissions pricing systems in place that meet the federal standards. This ensures that there is a uniform price on carbon emissions across the country. The backstop price is $95/tonne of CO2e as of December 2025. The current federal government plan is to continue increasing the backstop price each year until it reaches $170/tonne in 2030. In Alberta, the </w:t>
      </w:r>
      <w:r>
        <w:rPr>
          <w:rFonts w:ascii="Times New Roman" w:cs="Times New Roman" w:eastAsia="Times New Roman" w:hAnsi="Times New Roman"/>
          <w:sz w:val="17"/>
          <w:szCs w:val="17"/>
          <w:i w:val="1"/>
          <w:iCs w:val="1"/>
          <w:color w:val="auto"/>
        </w:rPr>
        <w:t>Technology Innovation and Emissions Reduction Regulation</w:t>
      </w:r>
      <w:r>
        <w:rPr>
          <w:rFonts w:ascii="Times New Roman" w:cs="Times New Roman" w:eastAsia="Times New Roman" w:hAnsi="Times New Roman"/>
          <w:sz w:val="17"/>
          <w:szCs w:val="17"/>
          <w:color w:val="auto"/>
        </w:rPr>
        <w:t xml:space="preserve"> (TIER) meets the GGPPA standards for an output-based carbon pricing system and replaces the GGPPA for large industrial emitters in the province. Facilities within Alberta that are subject to the TIER Regulation are not subject to the full costs of complying with the GGPPA. The TIER Regulation applies to Alberta-based facilities that emit over 100,000 tonnes of CO2e per year. Under the TIER Regulation, emissions from each facility are compared to either an industry-wide benchmark or a facility-specific benchmark which effectively permits facilities to emit GHGs up to a certain amount without being subject to the provincial carbon price. Those benchmarks “tighten” resulting in more onerous compliance costs, every year. Facilities with emissions that exceed the industry-wide benchmark or facility-specific benchmark, as applicable, must rely on one or more of the compliance options established by the TIER Regulation, such as purchase credits or offsets for each tonne of CO2e in excess of their limits. On May 12, 2025, the Alberta government announced that it would freeze the industrial carbon price at $95/tonne of CO2e. In British Columbia, the Output-Based Pricing System is an emissions pricing system created through amendments to the </w:t>
      </w:r>
      <w:r>
        <w:rPr>
          <w:rFonts w:ascii="Times New Roman" w:cs="Times New Roman" w:eastAsia="Times New Roman" w:hAnsi="Times New Roman"/>
          <w:sz w:val="17"/>
          <w:szCs w:val="17"/>
          <w:i w:val="1"/>
          <w:iCs w:val="1"/>
          <w:color w:val="auto"/>
        </w:rPr>
        <w:t>Greenhouse Gas Industrial Reporting and Control Act</w:t>
      </w:r>
      <w:r>
        <w:rPr>
          <w:rFonts w:ascii="Times New Roman" w:cs="Times New Roman" w:eastAsia="Times New Roman" w:hAnsi="Times New Roman"/>
          <w:sz w:val="17"/>
          <w:szCs w:val="17"/>
          <w:color w:val="auto"/>
        </w:rPr>
        <w:t xml:space="preserve"> that replaces the GGPPA for large industrial emitters in the province. The industrial carbon price is $95/tonne of CO2e as of December 2025 and is set to increase to $110/tonne of CO2e in 2026. Despite the current price freeze in Alberta, potential further increases in the cost of industrial carbon pricing and annual benchmark tightening rates may result in additional costs or liabilities for our customers’ operations.</w:t>
      </w:r>
    </w:p>
    <w:p>
      <w:pPr>
        <w:spacing w:after="0" w:line="203" w:lineRule="exact"/>
        <w:rPr>
          <w:sz w:val="20"/>
          <w:szCs w:val="20"/>
          <w:color w:val="auto"/>
        </w:rPr>
      </w:pPr>
    </w:p>
    <w:p>
      <w:pPr>
        <w:jc w:val="both"/>
        <w:ind w:firstLine="461"/>
        <w:spacing w:after="0" w:line="253" w:lineRule="auto"/>
        <w:rPr>
          <w:sz w:val="20"/>
          <w:szCs w:val="20"/>
          <w:color w:val="auto"/>
        </w:rPr>
      </w:pPr>
      <w:r>
        <w:rPr>
          <w:rFonts w:ascii="Times New Roman" w:cs="Times New Roman" w:eastAsia="Times New Roman" w:hAnsi="Times New Roman"/>
          <w:sz w:val="17"/>
          <w:szCs w:val="17"/>
          <w:color w:val="auto"/>
        </w:rPr>
        <w:t xml:space="preserve">On November 19, 2020, the federal government introduced the </w:t>
      </w:r>
      <w:r>
        <w:rPr>
          <w:rFonts w:ascii="Times New Roman" w:cs="Times New Roman" w:eastAsia="Times New Roman" w:hAnsi="Times New Roman"/>
          <w:sz w:val="17"/>
          <w:szCs w:val="17"/>
          <w:i w:val="1"/>
          <w:iCs w:val="1"/>
          <w:color w:val="auto"/>
        </w:rPr>
        <w:t>Canadian Net-Zero Emissions Accountability Act</w:t>
      </w:r>
      <w:r>
        <w:rPr>
          <w:rFonts w:ascii="Times New Roman" w:cs="Times New Roman" w:eastAsia="Times New Roman" w:hAnsi="Times New Roman"/>
          <w:sz w:val="17"/>
          <w:szCs w:val="17"/>
          <w:color w:val="auto"/>
        </w:rPr>
        <w:t xml:space="preserve"> (Net-Zero Act) in Parliament. The Net Zero Act was passed by Parliament and received Royal Assent on June 29, 2021 and binds the Government of Canada to a process intended to help Canada achieve net-zero emissions by 2050. It also establishes rolling five-year emissions-reduction targets and requires the government to develop plans to reach each target. The federal government is required to support those efforts by creating a Net-Zero Advisory Body and by publishing annual reports that describe how</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7"/>
          <w:szCs w:val="17"/>
          <w:color w:val="auto"/>
        </w:rPr>
        <w:t>departments and Crown corporations are considering the financial risks and opportunities of climate change in their decision-making. The Net-Zero Act was last updated in 2023. The current 2030 Emissions Reduction Plan is an ambitious target to reduce emissions by 40% below 2005 levels by 2030.</w:t>
      </w:r>
    </w:p>
    <w:p>
      <w:pPr>
        <w:spacing w:after="0" w:line="187" w:lineRule="exact"/>
        <w:rPr>
          <w:sz w:val="20"/>
          <w:szCs w:val="20"/>
          <w:color w:val="auto"/>
        </w:rPr>
      </w:pPr>
    </w:p>
    <w:p>
      <w:pPr>
        <w:jc w:val="both"/>
        <w:ind w:firstLine="461"/>
        <w:spacing w:after="0" w:line="245" w:lineRule="auto"/>
        <w:rPr>
          <w:sz w:val="20"/>
          <w:szCs w:val="20"/>
          <w:color w:val="auto"/>
        </w:rPr>
      </w:pPr>
      <w:r>
        <w:rPr>
          <w:rFonts w:ascii="Times New Roman" w:cs="Times New Roman" w:eastAsia="Times New Roman" w:hAnsi="Times New Roman"/>
          <w:sz w:val="17"/>
          <w:szCs w:val="17"/>
          <w:color w:val="auto"/>
        </w:rPr>
        <w:t xml:space="preserve">In addition, the federal government amended the </w:t>
      </w:r>
      <w:r>
        <w:rPr>
          <w:rFonts w:ascii="Times New Roman" w:cs="Times New Roman" w:eastAsia="Times New Roman" w:hAnsi="Times New Roman"/>
          <w:sz w:val="17"/>
          <w:szCs w:val="17"/>
          <w:i w:val="1"/>
          <w:iCs w:val="1"/>
          <w:color w:val="auto"/>
        </w:rPr>
        <w:t>Canadian Environmental Protection Act, 1999</w:t>
      </w:r>
      <w:r>
        <w:rPr>
          <w:rFonts w:ascii="Times New Roman" w:cs="Times New Roman" w:eastAsia="Times New Roman" w:hAnsi="Times New Roman"/>
          <w:sz w:val="17"/>
          <w:szCs w:val="17"/>
          <w:color w:val="auto"/>
        </w:rPr>
        <w:t xml:space="preserve"> (CEPA) in 2023. In particular, the preamble to CEPA now recognizes that every individual in Canada has a right to a healthy environment. The Government of Canada must now take into consideration this right, including the principles of environmental justice, when making decisions under CEPA, including its regulation of GHG emissions in Canada. In October 2024, Canada unveiled a draft framework to protect the right to a healthy environment through further modernization of the CEPA. In July 2025, Canada published the Implementation Framework for the Right to a Healthy Environment under the </w:t>
      </w:r>
      <w:r>
        <w:rPr>
          <w:rFonts w:ascii="Times New Roman" w:cs="Times New Roman" w:eastAsia="Times New Roman" w:hAnsi="Times New Roman"/>
          <w:sz w:val="17"/>
          <w:szCs w:val="17"/>
          <w:i w:val="1"/>
          <w:iCs w:val="1"/>
          <w:color w:val="auto"/>
        </w:rPr>
        <w:t>Canadian Environmental Protection Act</w:t>
      </w:r>
      <w:r>
        <w:rPr>
          <w:rFonts w:ascii="Times New Roman" w:cs="Times New Roman" w:eastAsia="Times New Roman" w:hAnsi="Times New Roman"/>
          <w:sz w:val="17"/>
          <w:szCs w:val="17"/>
          <w:color w:val="auto"/>
        </w:rPr>
        <w:t>, 1999 (framework). The framework elaborates on the meaning of the right to a healthy environment and provides flexible and practical guidance for government decision-makers. There remains significant uncertainty regarding how these proposed changes to the CEPA will be implemented and the potential for the proposed changes to affect our customers' operations.</w:t>
      </w:r>
    </w:p>
    <w:p>
      <w:pPr>
        <w:spacing w:after="0" w:line="196" w:lineRule="exact"/>
        <w:rPr>
          <w:sz w:val="20"/>
          <w:szCs w:val="20"/>
          <w:color w:val="auto"/>
        </w:rPr>
      </w:pPr>
    </w:p>
    <w:p>
      <w:pPr>
        <w:jc w:val="both"/>
        <w:ind w:firstLine="461"/>
        <w:spacing w:after="0" w:line="249" w:lineRule="auto"/>
        <w:rPr>
          <w:sz w:val="20"/>
          <w:szCs w:val="20"/>
          <w:color w:val="auto"/>
        </w:rPr>
      </w:pPr>
      <w:r>
        <w:rPr>
          <w:rFonts w:ascii="Times New Roman" w:cs="Times New Roman" w:eastAsia="Times New Roman" w:hAnsi="Times New Roman"/>
          <w:sz w:val="17"/>
          <w:szCs w:val="17"/>
          <w:color w:val="auto"/>
        </w:rPr>
        <w:t xml:space="preserve">The Canadian </w:t>
      </w:r>
      <w:r>
        <w:rPr>
          <w:rFonts w:ascii="Times New Roman" w:cs="Times New Roman" w:eastAsia="Times New Roman" w:hAnsi="Times New Roman"/>
          <w:sz w:val="17"/>
          <w:szCs w:val="17"/>
          <w:i w:val="1"/>
          <w:iCs w:val="1"/>
          <w:color w:val="auto"/>
        </w:rPr>
        <w:t>Species at Risk Act</w:t>
      </w:r>
      <w:r>
        <w:rPr>
          <w:rFonts w:ascii="Times New Roman" w:cs="Times New Roman" w:eastAsia="Times New Roman" w:hAnsi="Times New Roman"/>
          <w:sz w:val="17"/>
          <w:szCs w:val="17"/>
          <w:color w:val="auto"/>
        </w:rPr>
        <w:t xml:space="preserve"> (SARA) is intended to prevent wildlife species in Canada from disappearing and to provide for the recovery of wildlife species that no longer exist in the wild in Canada, or that are endangered or threatened as a result of human activity, and to manage species of special concern to prevent them from becoming endangered or threatened. Alberta’s Wildlife Act is similar legislation designed to protect wildlife in Alberta. The designation of previously unprotected species as threatened or endangered in areas of Canada where our customers’ oil and natural gas exploration and production operations are conducted could cause them to incur increased costs arising from species protection measures or could result in limitations on their exploration and production activities, which could have an adverse impact on demand for our services.</w:t>
      </w:r>
    </w:p>
    <w:p>
      <w:pPr>
        <w:spacing w:after="0" w:line="196" w:lineRule="exact"/>
        <w:rPr>
          <w:sz w:val="20"/>
          <w:szCs w:val="20"/>
          <w:color w:val="auto"/>
        </w:rPr>
      </w:pPr>
    </w:p>
    <w:p>
      <w:pPr>
        <w:jc w:val="both"/>
        <w:ind w:firstLine="461"/>
        <w:spacing w:after="0" w:line="244" w:lineRule="auto"/>
        <w:rPr>
          <w:sz w:val="20"/>
          <w:szCs w:val="20"/>
          <w:color w:val="auto"/>
        </w:rPr>
      </w:pPr>
      <w:r>
        <w:rPr>
          <w:rFonts w:ascii="Times New Roman" w:cs="Times New Roman" w:eastAsia="Times New Roman" w:hAnsi="Times New Roman"/>
          <w:sz w:val="17"/>
          <w:szCs w:val="17"/>
          <w:color w:val="auto"/>
        </w:rPr>
        <w:t>Woodland caribou habitat covers large portions of several Canadian provinces including British Columbia and Alberta. Many of our customers have existing or proposed developments in or near woodland caribou habitat. Conservation measures imposed by the federal or provincial governments could affect the business of our customers with operations near caribou habitat. In October 2020, Alberta and Canada signed the Agreement for the Conservation and Recovery of the Woodland Caribou in Alberta (Caribou Agreement) pursuant to the SARA. The Caribou Agreement has not led to any concrete provincial regulations or restrictions that affect oil and gas development in Alberta. However, certain local governments have created caribou range plans (also known as sub-regional plans) that may limit oil and gas developments by limiting the creation of right-of-ways (e.g., pipelines, electricity transmission lines, seismic lines, etc.) that break up caribou habitat and provide predators like wolves with easier access to caribou herds. For example, the Cold Lake sub-regional plan states that all new development in caribou ranges “must be issued with a no-surface-disturbance restriction.” Effective January 1, 2026, the Upper Smoke Sub-Regional Plan will apply to resource development in northwestern Alberta and includes provisions to protect caribou while still advancing Alberta’s economic interests. Wildlife protection legislation may create challenges to development that may negatively impact our customers’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Abandonment and Remediation of Oil and Gas Infrastructure</w:t>
      </w:r>
    </w:p>
    <w:p>
      <w:pPr>
        <w:spacing w:after="0" w:line="23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As the lifecycle regulator for energy resource activities, the AER oversees closure requirements, including the abandonment and reclamation of wells, well sites, facilities, facility sites and pipelines.</w:t>
      </w:r>
    </w:p>
    <w:p>
      <w:pPr>
        <w:spacing w:after="0" w:line="178"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 xml:space="preserve">Beginning in 2020, the Government of Alberta began implementing legislative and regulatory changes to the framework used to manage liability from oil and gas facilities within the province. In particular, in July 2020, Alberta released a new Liability Management Framework (AB LMF) which includes a series of mechanisms and requirements to improve and expedite reclamation efforts and to require industry to better manage clean-up of wells, pipelines and facilities. Alberta followed the announcement of the AB LMF with amendments to the </w:t>
      </w:r>
      <w:r>
        <w:rPr>
          <w:rFonts w:ascii="Times New Roman" w:cs="Times New Roman" w:eastAsia="Times New Roman" w:hAnsi="Times New Roman"/>
          <w:sz w:val="17"/>
          <w:szCs w:val="17"/>
          <w:i w:val="1"/>
          <w:iCs w:val="1"/>
          <w:color w:val="auto"/>
        </w:rPr>
        <w:t>Oil and Gas Conservation Rules and the Pipeline Rules</w:t>
      </w:r>
      <w:r>
        <w:rPr>
          <w:rFonts w:ascii="Times New Roman" w:cs="Times New Roman" w:eastAsia="Times New Roman" w:hAnsi="Times New Roman"/>
          <w:sz w:val="17"/>
          <w:szCs w:val="17"/>
          <w:color w:val="auto"/>
        </w:rPr>
        <w:t xml:space="preserve"> in late 2020. Those changes gave the AER additional authority to manage closure-related activity for oil and gas facilities within the province. The AER implements and administers these policies through directives. In April 2021, the AER made changes to </w:t>
      </w:r>
      <w:r>
        <w:rPr>
          <w:rFonts w:ascii="Times New Roman" w:cs="Times New Roman" w:eastAsia="Times New Roman" w:hAnsi="Times New Roman"/>
          <w:sz w:val="17"/>
          <w:szCs w:val="17"/>
          <w:i w:val="1"/>
          <w:iCs w:val="1"/>
          <w:color w:val="auto"/>
        </w:rPr>
        <w:t>Directive 067: Eligibility Requirements for Acquiring and Holding Energy Licenses and</w:t>
      </w: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Approvals </w:t>
      </w:r>
      <w:r>
        <w:rPr>
          <w:rFonts w:ascii="Times New Roman" w:cs="Times New Roman" w:eastAsia="Times New Roman" w:hAnsi="Times New Roman"/>
          <w:sz w:val="17"/>
          <w:szCs w:val="17"/>
          <w:color w:val="auto"/>
        </w:rPr>
        <w:t>(Directive 067) to ensure the AER closely scrutinizes those parties seeking eligibility to hold AER licenses by evaluating whether they pose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"unreasonable risk" based on a variety of factors. Directive 067 was last updated in March 2024. In December 2021, the AER published </w:t>
      </w:r>
      <w:r>
        <w:rPr>
          <w:rFonts w:ascii="Times New Roman" w:cs="Times New Roman" w:eastAsia="Times New Roman" w:hAnsi="Times New Roman"/>
          <w:sz w:val="17"/>
          <w:szCs w:val="17"/>
          <w:i w:val="1"/>
          <w:iCs w:val="1"/>
          <w:color w:val="auto"/>
        </w:rPr>
        <w:t>Directive 088: Licensee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Life-Cycle Management </w:t>
      </w:r>
      <w:r>
        <w:rPr>
          <w:rFonts w:ascii="Times New Roman" w:cs="Times New Roman" w:eastAsia="Times New Roman" w:hAnsi="Times New Roman"/>
          <w:sz w:val="17"/>
          <w:szCs w:val="17"/>
          <w:color w:val="auto"/>
        </w:rPr>
        <w:t>(Directive 088) to support implementing the AB LMF. Directive 088 establishes the AER's authority to conduct a holistic licensee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assessment to inform regulatory decisions about a given licensee. Directive 088 also establishes the Licensee Management Program which enables the AER to proactively monitor licensees to identify those at risk of not meeting their regulatory obligations and to use appropriate regulatory tools to address that risk. Finally, Directive 088 establishes the Inventory Reduction Program and allows the AER to set licensee-specific and industry-wide closure targets. Directive 088 and the supplemental Manual 23 were updated in 2025 to create more flexibility for licensees regarding mandatory closure spending requirements and licensee capability assessments. Further, the AER made minor updates to Directives 001, 011 and 068 in 2025. These and any other changes to the AER's approach to managing closure requirements for energy resource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3" w:name="page24"/>
    <w:bookmarkEnd w:id="23"/>
    <w:p>
      <w:pPr>
        <w:jc w:val="both"/>
        <w:spacing w:after="0" w:line="262" w:lineRule="auto"/>
        <w:rPr>
          <w:sz w:val="20"/>
          <w:szCs w:val="20"/>
          <w:color w:val="auto"/>
        </w:rPr>
      </w:pPr>
      <w:r>
        <w:rPr>
          <w:rFonts w:ascii="Times New Roman" w:cs="Times New Roman" w:eastAsia="Times New Roman" w:hAnsi="Times New Roman"/>
          <w:sz w:val="17"/>
          <w:szCs w:val="17"/>
          <w:color w:val="auto"/>
        </w:rPr>
        <w:t>activities may result in additional costs or liabilities for our customers’ operations as the updated regulations place heightened focus on remediation and reclamation.</w:t>
      </w:r>
    </w:p>
    <w:p>
      <w:pPr>
        <w:spacing w:after="0" w:line="200" w:lineRule="exact"/>
        <w:rPr>
          <w:sz w:val="20"/>
          <w:szCs w:val="20"/>
          <w:color w:val="auto"/>
        </w:rPr>
      </w:pPr>
    </w:p>
    <w:p>
      <w:pPr>
        <w:spacing w:after="0" w:line="227" w:lineRule="exact"/>
        <w:rPr>
          <w:sz w:val="20"/>
          <w:szCs w:val="20"/>
          <w:color w:val="auto"/>
        </w:rPr>
      </w:pPr>
    </w:p>
    <w:p>
      <w:pPr>
        <w:jc w:val="both"/>
        <w:ind w:firstLine="461"/>
        <w:spacing w:after="0" w:line="248" w:lineRule="auto"/>
        <w:rPr>
          <w:sz w:val="20"/>
          <w:szCs w:val="20"/>
          <w:color w:val="auto"/>
        </w:rPr>
      </w:pPr>
      <w:r>
        <w:rPr>
          <w:rFonts w:ascii="Times New Roman" w:cs="Times New Roman" w:eastAsia="Times New Roman" w:hAnsi="Times New Roman"/>
          <w:sz w:val="17"/>
          <w:szCs w:val="17"/>
          <w:color w:val="auto"/>
        </w:rPr>
        <w:t xml:space="preserve">In British Columbia the British Columbia Energy Regulator's (BCER) Comprehensive Liability Management Plan addresses liability management, improves the rate of inactive site restoration and addresses orphan sites. The BCER uses a Liability Management Rating program to evaluate each company’s ability to pay for site restoration. The BCER addresses dormant sites through the </w:t>
      </w:r>
      <w:r>
        <w:rPr>
          <w:rFonts w:ascii="Times New Roman" w:cs="Times New Roman" w:eastAsia="Times New Roman" w:hAnsi="Times New Roman"/>
          <w:sz w:val="17"/>
          <w:szCs w:val="17"/>
          <w:i w:val="1"/>
          <w:iCs w:val="1"/>
          <w:color w:val="auto"/>
        </w:rPr>
        <w:t>Dormancy and Shutdown Regulation</w:t>
      </w:r>
      <w:r>
        <w:rPr>
          <w:rFonts w:ascii="Times New Roman" w:cs="Times New Roman" w:eastAsia="Times New Roman" w:hAnsi="Times New Roman"/>
          <w:sz w:val="17"/>
          <w:szCs w:val="17"/>
          <w:color w:val="auto"/>
        </w:rPr>
        <w:t>, which ensures producers responsibly bring their energy resource activities to regulatory closure within a reasonable time frame. In November 2025, the BCER increased the Orphan Site Restoration Levy by an additional $9 million, raising the total fund to $24 million. If or when applicable to operations, any changes to the BCER’s approach to managing dormancy and closure requirements for energy resource activities may result in additional costs or liabilities for our customers’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Building Canada Act</w:t>
      </w:r>
    </w:p>
    <w:p>
      <w:pPr>
        <w:spacing w:after="0" w:line="229" w:lineRule="exact"/>
        <w:rPr>
          <w:sz w:val="20"/>
          <w:szCs w:val="20"/>
          <w:color w:val="auto"/>
        </w:rPr>
      </w:pPr>
    </w:p>
    <w:p>
      <w:pPr>
        <w:jc w:val="both"/>
        <w:ind w:firstLine="461"/>
        <w:spacing w:after="0" w:line="249" w:lineRule="auto"/>
        <w:rPr>
          <w:sz w:val="20"/>
          <w:szCs w:val="20"/>
          <w:color w:val="auto"/>
        </w:rPr>
      </w:pPr>
      <w:r>
        <w:rPr>
          <w:rFonts w:ascii="Times New Roman" w:cs="Times New Roman" w:eastAsia="Times New Roman" w:hAnsi="Times New Roman"/>
          <w:sz w:val="17"/>
          <w:szCs w:val="17"/>
          <w:color w:val="auto"/>
        </w:rPr>
        <w:t xml:space="preserve">In 2025, the federal government passed the </w:t>
      </w:r>
      <w:r>
        <w:rPr>
          <w:rFonts w:ascii="Times New Roman" w:cs="Times New Roman" w:eastAsia="Times New Roman" w:hAnsi="Times New Roman"/>
          <w:sz w:val="17"/>
          <w:szCs w:val="17"/>
          <w:i w:val="1"/>
          <w:iCs w:val="1"/>
          <w:color w:val="auto"/>
        </w:rPr>
        <w:t>Building Canada Act</w:t>
      </w:r>
      <w:r>
        <w:rPr>
          <w:rFonts w:ascii="Times New Roman" w:cs="Times New Roman" w:eastAsia="Times New Roman" w:hAnsi="Times New Roman"/>
          <w:sz w:val="17"/>
          <w:szCs w:val="17"/>
          <w:color w:val="auto"/>
        </w:rPr>
        <w:t xml:space="preserve"> (BCA). The BCA aims to streamline approval processes to build major projects faster. Currently, there are a number of projects that have been designated for further review and potentially expedited approvals, including: Pathways Plus, an Alberta-based carbon capture, utilization and storage project in support of the oil and gas industry; Critical Minerals Strategy, prioritizing critical mineral development in Canada; LNG Canada Phase 2, an expansion to double the capacity of LNG Canada’s current export facility on the BC coast; and Ksi Lisims LNG, a proposed floating LNG export facility on the BC coast. Although many of these projects have yet to be confirmed, the BCA demonstrates a renewed emphasis on resource development in Alberta and BC which may lead to increased opportunities for our customers.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w:t>
      </w:r>
    </w:p>
    <w:p>
      <w:pPr>
        <w:spacing w:after="0" w:line="203"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i w:val="1"/>
          <w:iCs w:val="1"/>
          <w:color w:val="auto"/>
        </w:rPr>
        <w:t>We are subject to various risks and hazards due to the nature of the business activities we conduct. The risks summarized and discussed below, any of which could materially and adversely affect our business, financial condition, cash flows and results of operations and the price of our shares,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90" w:lineRule="exact"/>
        <w:rPr>
          <w:sz w:val="20"/>
          <w:szCs w:val="20"/>
          <w:color w:val="auto"/>
        </w:rPr>
      </w:pPr>
    </w:p>
    <w:p>
      <w:pPr>
        <w:jc w:val="both"/>
        <w:ind w:firstLine="461"/>
        <w:spacing w:after="0" w:line="289" w:lineRule="auto"/>
        <w:rPr>
          <w:sz w:val="20"/>
          <w:szCs w:val="20"/>
          <w:color w:val="auto"/>
        </w:rPr>
      </w:pPr>
      <w:r>
        <w:rPr>
          <w:rFonts w:ascii="Times New Roman" w:cs="Times New Roman" w:eastAsia="Times New Roman" w:hAnsi="Times New Roman"/>
          <w:sz w:val="17"/>
          <w:szCs w:val="17"/>
          <w:i w:val="1"/>
          <w:iCs w:val="1"/>
          <w:color w:val="auto"/>
        </w:rPr>
        <w:t>Risks in this section are grouped by category. Many risks affect more than one category and the risks are not in order of significance or probability of occurrence because they have been grouped by categories.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Summary of Risk Factors:</w:t>
      </w:r>
    </w:p>
    <w:p>
      <w:pPr>
        <w:spacing w:after="0" w:line="244" w:lineRule="exact"/>
        <w:rPr>
          <w:sz w:val="20"/>
          <w:szCs w:val="20"/>
          <w:color w:val="auto"/>
        </w:rPr>
      </w:pPr>
    </w:p>
    <w:p>
      <w:pPr>
        <w:jc w:val="both"/>
        <w:ind w:firstLine="384"/>
        <w:spacing w:after="0" w:line="252" w:lineRule="auto"/>
        <w:rPr>
          <w:sz w:val="20"/>
          <w:szCs w:val="20"/>
          <w:color w:val="auto"/>
        </w:rPr>
      </w:pPr>
      <w:r>
        <w:rPr>
          <w:rFonts w:ascii="Times New Roman" w:cs="Times New Roman" w:eastAsia="Times New Roman" w:hAnsi="Times New Roman"/>
          <w:sz w:val="17"/>
          <w:szCs w:val="17"/>
          <w:color w:val="auto"/>
        </w:rPr>
        <w:t>Set forth below is a summary of the risks more fully described in this Part I, Item 1A. “Risk Factors” of this Annual Report on Form 10-K. This summary should be read in connection with the Risk Factors more fully described below and should not be relied upon as an exhaustive summary of the material risks facing our business.</w:t>
      </w:r>
    </w:p>
    <w:p>
      <w:pPr>
        <w:spacing w:after="0" w:line="200"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Risks Related to Our Customers</w:t>
      </w:r>
    </w:p>
    <w:p>
      <w:pPr>
        <w:spacing w:after="0" w:line="30" w:lineRule="exact"/>
        <w:rPr>
          <w:rFonts w:ascii="Times New Roman" w:cs="Times New Roman" w:eastAsia="Times New Roman" w:hAnsi="Times New Roman"/>
          <w:sz w:val="17"/>
          <w:szCs w:val="17"/>
          <w:b w:val="1"/>
          <w:bCs w:val="1"/>
          <w:color w:val="auto"/>
        </w:rPr>
      </w:pPr>
    </w:p>
    <w:p>
      <w:pPr>
        <w:ind w:left="1240" w:hanging="316"/>
        <w:spacing w:after="0" w:line="251" w:lineRule="auto"/>
        <w:tabs>
          <w:tab w:leader="none" w:pos="123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our customers’ spending may be directly, and our business may be indirectly, affected by (i) volatile or low met coal, oil, iron ore or natural gas prices; (ii) elevated or increasing production costs, including due to tariffs; or (iii) unsuccessful exploration results.</w:t>
      </w: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customers and their operations are exposed to a number of unique operating risks and challenges.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several significant customers.</w:t>
      </w:r>
    </w:p>
    <w:p>
      <w:pPr>
        <w:spacing w:after="0" w:line="9" w:lineRule="exact"/>
        <w:rPr>
          <w:rFonts w:ascii="Times New Roman" w:cs="Times New Roman" w:eastAsia="Times New Roman" w:hAnsi="Times New Roman"/>
          <w:sz w:val="17"/>
          <w:szCs w:val="17"/>
          <w:color w:val="auto"/>
        </w:rPr>
      </w:pPr>
    </w:p>
    <w:p>
      <w:pPr>
        <w:ind w:left="1240" w:hanging="316"/>
        <w:spacing w:after="0" w:line="251" w:lineRule="auto"/>
        <w:tabs>
          <w:tab w:leader="none" w:pos="123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retain our current customers, renew our existing customer contracts and obtain new customer contracts, or the termination of existing contracts, could adversely affect our business.</w:t>
      </w:r>
    </w:p>
    <w:p>
      <w:pPr>
        <w:ind w:left="1240" w:hanging="316"/>
        <w:spacing w:after="0" w:line="251" w:lineRule="auto"/>
        <w:tabs>
          <w:tab w:leader="none" w:pos="124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events in areas where we operate could negatively impact our business, and our geographic concentration could limit the number of customers seeking our services.</w:t>
      </w: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adversely affected if customers reduce their accommodations outsourcing.</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b w:val="1"/>
          <w:bCs w:val="1"/>
          <w:color w:val="auto"/>
        </w:rPr>
        <w:t>Risks Related to Our Operations</w:t>
      </w: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 and if we fail to compete effectively, our business will suffer.</w:t>
      </w:r>
    </w:p>
    <w:p>
      <w:pPr>
        <w:spacing w:after="0" w:line="8"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operations may suffer due to over-capacity of certain types of accommodations assets in certain regions.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operating costs and limited cost recovery through pricing or contract terms may constrain our ability to make a profit.</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and customer labor problems could adversely affect us.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develop or maintain positive relationships with the Indigenous people in the areas where we operate could adversely affect our business.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or required use of permanent infrastructure in the areas where we locate our assets could negatively impact our business.</w:t>
      </w:r>
    </w:p>
    <w:p>
      <w:pPr>
        <w:spacing w:after="0" w:line="9" w:lineRule="exact"/>
        <w:rPr>
          <w:rFonts w:ascii="Times New Roman" w:cs="Times New Roman" w:eastAsia="Times New Roman" w:hAnsi="Times New Roman"/>
          <w:sz w:val="17"/>
          <w:szCs w:val="17"/>
          <w:color w:val="auto"/>
        </w:rPr>
      </w:pPr>
    </w:p>
    <w:p>
      <w:pPr>
        <w:ind w:left="1240" w:hanging="316"/>
        <w:spacing w:after="0" w:line="251" w:lineRule="auto"/>
        <w:tabs>
          <w:tab w:leader="none" w:pos="124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failure to maintain food safety or comply with government regulations related to food and beverages or serving alcoholic beverages may subject us to liability.</w:t>
      </w:r>
    </w:p>
    <w:p>
      <w:pPr>
        <w:ind w:left="1240" w:hanging="316"/>
        <w:spacing w:after="0" w:line="251" w:lineRule="auto"/>
        <w:tabs>
          <w:tab w:leader="none" w:pos="124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or foreign trade policies, including tariffs and other protectionist trade measures, may adversely impact our future net income, cash flows and financial condition.</w:t>
      </w: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of our major Canadian lodges are located on land subject to leases.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susceptible to seasonal earnings volatility due to seasonal weather patterns in our regions of operations.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risks associated with the transportation, installation and demobilization of mobile accommodations.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negatively impacted by security threats, including cybersecurity threats and other disruptions.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disrupted by any failure of our information systems.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members of our management could adversely affect our business.</w:t>
      </w:r>
    </w:p>
    <w:p>
      <w:pPr>
        <w:spacing w:after="0" w:line="9" w:lineRule="exact"/>
        <w:rPr>
          <w:rFonts w:ascii="Times New Roman" w:cs="Times New Roman" w:eastAsia="Times New Roman" w:hAnsi="Times New Roman"/>
          <w:sz w:val="17"/>
          <w:szCs w:val="17"/>
          <w:color w:val="auto"/>
        </w:rPr>
      </w:pPr>
    </w:p>
    <w:p>
      <w:pPr>
        <w:ind w:left="1240" w:hanging="316"/>
        <w:spacing w:after="0" w:line="263" w:lineRule="auto"/>
        <w:tabs>
          <w:tab w:leader="none" w:pos="126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public health crises, pandemics and epidemics may materially affect how we and our customers are operating our and their businesses.</w:t>
      </w:r>
    </w:p>
    <w:p>
      <w:pPr>
        <w:spacing w:after="0" w:line="19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Financial/Accounting Risks</w:t>
      </w:r>
    </w:p>
    <w:p>
      <w:pPr>
        <w:spacing w:after="0" w:line="30" w:lineRule="exact"/>
        <w:rPr>
          <w:rFonts w:ascii="Times New Roman" w:cs="Times New Roman" w:eastAsia="Times New Roman" w:hAnsi="Times New Roman"/>
          <w:sz w:val="17"/>
          <w:szCs w:val="17"/>
          <w:b w:val="1"/>
          <w:bCs w:val="1"/>
          <w:color w:val="auto"/>
        </w:rPr>
      </w:pPr>
    </w:p>
    <w:p>
      <w:pPr>
        <w:ind w:left="1220" w:hanging="296"/>
        <w:spacing w:after="0"/>
        <w:tabs>
          <w:tab w:leader="none" w:pos="12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could adversely affect our U.S. dollar reported results of operations and financial position.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5" w:name="page26"/>
    <w:bookmarkEnd w:id="25"/>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indebtedness could restrict our strategy and operations and make us more vulnerable to adverse economic conditions.</w:t>
      </w:r>
    </w:p>
    <w:p>
      <w:pPr>
        <w:spacing w:after="0" w:line="26"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have adequate insurance for potential liabilities and insurance may not cover certain liabilities.</w:t>
      </w:r>
    </w:p>
    <w:p>
      <w:pPr>
        <w:spacing w:after="0" w:line="9" w:lineRule="exact"/>
        <w:rPr>
          <w:rFonts w:ascii="Times New Roman" w:cs="Times New Roman" w:eastAsia="Times New Roman" w:hAnsi="Times New Roman"/>
          <w:sz w:val="17"/>
          <w:szCs w:val="17"/>
          <w:color w:val="auto"/>
        </w:rPr>
      </w:pPr>
    </w:p>
    <w:p>
      <w:pPr>
        <w:ind w:left="1240" w:hanging="316"/>
        <w:spacing w:after="0" w:line="251" w:lineRule="auto"/>
        <w:tabs>
          <w:tab w:leader="none" w:pos="124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cyclical nature of our business and a severe prolonged downturn has, and could in the future, negatively affect the value of our long-lived assets and our goodwill.</w:t>
      </w:r>
    </w:p>
    <w:p>
      <w:pPr>
        <w:ind w:left="1240" w:hanging="316"/>
        <w:spacing w:after="0" w:line="263" w:lineRule="auto"/>
        <w:tabs>
          <w:tab w:leader="none" w:pos="124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control the inherent risks of identifying, acquiring and integrating businesses that we may acquire could adversely affect our operations.</w:t>
      </w:r>
    </w:p>
    <w:p>
      <w:pPr>
        <w:spacing w:after="0" w:line="19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and Regulatory Risks</w:t>
      </w:r>
    </w:p>
    <w:p>
      <w:pPr>
        <w:spacing w:after="0" w:line="30" w:lineRule="exact"/>
        <w:rPr>
          <w:rFonts w:ascii="Times New Roman" w:cs="Times New Roman" w:eastAsia="Times New Roman" w:hAnsi="Times New Roman"/>
          <w:sz w:val="17"/>
          <w:szCs w:val="17"/>
          <w:b w:val="1"/>
          <w:bCs w:val="1"/>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do business in Australia and Canada, whose political and regulatory environments and compliance regimes differ from those in the U.S.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extensive and costly environmental laws and regulations.</w:t>
      </w:r>
    </w:p>
    <w:p>
      <w:pPr>
        <w:spacing w:after="0" w:line="9" w:lineRule="exact"/>
        <w:rPr>
          <w:rFonts w:ascii="Times New Roman" w:cs="Times New Roman" w:eastAsia="Times New Roman" w:hAnsi="Times New Roman"/>
          <w:sz w:val="17"/>
          <w:szCs w:val="17"/>
          <w:color w:val="auto"/>
        </w:rPr>
      </w:pPr>
    </w:p>
    <w:p>
      <w:pPr>
        <w:ind w:left="1240" w:hanging="316"/>
        <w:spacing w:after="0" w:line="263" w:lineRule="auto"/>
        <w:tabs>
          <w:tab w:leader="none" w:pos="124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exposed to certain regulatory and financial risks related to climate change and other environmental, social and governance (ESG) related matters.</w:t>
      </w:r>
    </w:p>
    <w:p>
      <w:pPr>
        <w:spacing w:after="0" w:line="19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Risks Related to Our Common Shares</w:t>
      </w:r>
    </w:p>
    <w:p>
      <w:pPr>
        <w:spacing w:after="0" w:line="30" w:lineRule="exact"/>
        <w:rPr>
          <w:rFonts w:ascii="Times New Roman" w:cs="Times New Roman" w:eastAsia="Times New Roman" w:hAnsi="Times New Roman"/>
          <w:sz w:val="17"/>
          <w:szCs w:val="17"/>
          <w:b w:val="1"/>
          <w:bCs w:val="1"/>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and trading volume of our common shares may be volatile.</w:t>
      </w:r>
    </w:p>
    <w:p>
      <w:pPr>
        <w:spacing w:after="0" w:line="9" w:lineRule="exact"/>
        <w:rPr>
          <w:rFonts w:ascii="Times New Roman" w:cs="Times New Roman" w:eastAsia="Times New Roman" w:hAnsi="Times New Roman"/>
          <w:sz w:val="17"/>
          <w:szCs w:val="17"/>
          <w:color w:val="auto"/>
        </w:rPr>
      </w:pPr>
    </w:p>
    <w:p>
      <w:pPr>
        <w:ind w:left="1240" w:hanging="316"/>
        <w:spacing w:after="0" w:line="251" w:lineRule="auto"/>
        <w:tabs>
          <w:tab w:leader="none" w:pos="123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repurchases of our common shares or payment of dividends are each within the discretion of our Board of Directors, and there is no guarantee that we will repurchase common shares or pay any dividends in the future or at levels anticipated by our shareholders.</w:t>
      </w: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governed by the corporate laws in British Columbia, Canada.</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contained in our articles and applicable Canadian and British Columbia laws could discourage a take-over attempt.</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enforcement of civil liabilities against Civeo may be more difficult.</w:t>
      </w:r>
    </w:p>
    <w:p>
      <w:pPr>
        <w:spacing w:after="0" w:line="218"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Risks Related to Our Structure</w:t>
      </w:r>
    </w:p>
    <w:p>
      <w:pPr>
        <w:spacing w:after="0" w:line="30" w:lineRule="exact"/>
        <w:rPr>
          <w:rFonts w:ascii="Times New Roman" w:cs="Times New Roman" w:eastAsia="Times New Roman" w:hAnsi="Times New Roman"/>
          <w:sz w:val="17"/>
          <w:szCs w:val="17"/>
          <w:b w:val="1"/>
          <w:bCs w:val="1"/>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various Australian, Canadian and other taxes.</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remain subject to changes in tax law (in various jurisdictions) and other factors that could impact our effective tax rate.</w:t>
      </w:r>
    </w:p>
    <w:p>
      <w:pPr>
        <w:spacing w:after="0" w:line="9" w:lineRule="exact"/>
        <w:rPr>
          <w:rFonts w:ascii="Times New Roman" w:cs="Times New Roman" w:eastAsia="Times New Roman" w:hAnsi="Times New Roman"/>
          <w:sz w:val="17"/>
          <w:szCs w:val="17"/>
          <w:color w:val="auto"/>
        </w:rPr>
      </w:pPr>
    </w:p>
    <w:p>
      <w:pPr>
        <w:ind w:left="1220" w:hanging="296"/>
        <w:spacing w:after="0"/>
        <w:tabs>
          <w:tab w:leader="none" w:pos="122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potential changes to U.S. tax laws could result in Civeo being treated as a U.S. corporation for U.S. federal income tax purposes.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Factors: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Customers</w:t>
      </w:r>
    </w:p>
    <w:p>
      <w:pPr>
        <w:spacing w:after="0" w:line="225" w:lineRule="exact"/>
        <w:rPr>
          <w:sz w:val="20"/>
          <w:szCs w:val="20"/>
          <w:color w:val="auto"/>
        </w:rPr>
      </w:pPr>
    </w:p>
    <w:p>
      <w:pPr>
        <w:jc w:val="both"/>
        <w:ind w:firstLine="461"/>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Certain of our customers’ spending may be directly, and our business may be indirectly, affected by (i) volatile or low met coal, oil, iron ore or natural gas prices; (ii) elevated or increasing production costs, including due to tariffs; or (iii) unsuccessful exploration results.</w:t>
      </w:r>
    </w:p>
    <w:p>
      <w:pPr>
        <w:spacing w:after="0" w:line="185"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Demand for our services is sensitive to the level of exploration, development and production activity of, and the corresponding capital spending by, natural resources companies. Our business typically supports customer projects that are capital intensive and require several years to generate first production, with production lasting for decades. The economic analyses conducted by our customers in Australian mining, Canadian oil sands and global LNG investment areas have historically assumed a relatively conservative longer-term price outlook for production from such projects to determine economic viability. The willingness of natural resources companies to explore, develop and produce depends largely upon the availability of attractive resource prospects and the prevailing view of future commodity prices, and expenditures by our natural resources customers generally lag changes in commodity prices by at least three to six months.</w:t>
      </w:r>
    </w:p>
    <w:p>
      <w:pPr>
        <w:spacing w:after="0" w:line="199"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Prices for met coal, oil, iron ore, LNG and other natural resources are subject to large fluctuations in response to changes in global supply of and demand for these commodities. Other factors beyond our control that affect commodity prices include:</w:t>
      </w:r>
    </w:p>
    <w:p>
      <w:pPr>
        <w:spacing w:after="0" w:line="178" w:lineRule="exact"/>
        <w:rPr>
          <w:sz w:val="20"/>
          <w:szCs w:val="20"/>
          <w:color w:val="auto"/>
        </w:rPr>
      </w:pPr>
    </w:p>
    <w:p>
      <w:pPr>
        <w:ind w:left="620" w:hanging="310"/>
        <w:spacing w:after="0" w:line="262" w:lineRule="auto"/>
        <w:tabs>
          <w:tab w:leader="none" w:pos="6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economic activity including growth in and demand for coal, oil and other natural resources, particularly from developing countries, such as China and India;</w:t>
      </w: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activity, spending and natural resource developments in Australia and Canada;</w:t>
      </w:r>
    </w:p>
    <w:p>
      <w:pPr>
        <w:spacing w:after="0" w:line="30" w:lineRule="exact"/>
        <w:rPr>
          <w:rFonts w:ascii="Times New Roman" w:cs="Times New Roman" w:eastAsia="Times New Roman" w:hAnsi="Times New Roman"/>
          <w:sz w:val="17"/>
          <w:szCs w:val="17"/>
          <w:color w:val="auto"/>
        </w:rPr>
      </w:pPr>
    </w:p>
    <w:p>
      <w:pPr>
        <w:ind w:left="620" w:hanging="310"/>
        <w:spacing w:after="0"/>
        <w:tabs>
          <w:tab w:leader="none" w:pos="61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the level of global oil and gas exploration and production and the impact of government regulation or Organization of the Petroleum Exporting Countries Plus (OPEC+) policies that impact production levels and oil prices;</w:t>
      </w:r>
    </w:p>
    <w:p>
      <w:pPr>
        <w:spacing w:after="0" w:line="1" w:lineRule="exact"/>
        <w:rPr>
          <w:rFonts w:ascii="Times New Roman" w:cs="Times New Roman" w:eastAsia="Times New Roman" w:hAnsi="Times New Roman"/>
          <w:sz w:val="20"/>
          <w:szCs w:val="20"/>
          <w:color w:val="auto"/>
        </w:rPr>
      </w:pPr>
    </w:p>
    <w:p>
      <w:pPr>
        <w:ind w:left="620" w:hanging="310"/>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transportation infrastructure and refining capacity for oil, natural gas, LNG and coal;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6" w:name="page27"/>
    <w:bookmarkEnd w:id="26"/>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weather conditions, natural disasters and global health concerns;</w:t>
      </w:r>
    </w:p>
    <w:p>
      <w:pPr>
        <w:spacing w:after="0" w:line="2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and other international trade policies;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events such as the ongoing Russia/Ukraine and Middle East conflicts;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global demand for fossil fuels due to international efforts to address climate change;</w:t>
      </w:r>
    </w:p>
    <w:p>
      <w:pPr>
        <w:spacing w:after="0" w:line="9" w:lineRule="exact"/>
        <w:rPr>
          <w:rFonts w:ascii="Times New Roman" w:cs="Times New Roman" w:eastAsia="Times New Roman" w:hAnsi="Times New Roman"/>
          <w:sz w:val="17"/>
          <w:szCs w:val="17"/>
          <w:color w:val="auto"/>
        </w:rPr>
      </w:pPr>
    </w:p>
    <w:p>
      <w:pPr>
        <w:ind w:left="620" w:hanging="310"/>
        <w:spacing w:after="0" w:line="251" w:lineRule="auto"/>
        <w:tabs>
          <w:tab w:leader="none" w:pos="61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technological change and the timing and extent of energy resource development, including hydraulic fracturing of horizontally drilled wells in shale discoveries and LNG;</w:t>
      </w: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commercialization, availability and economics of alternative fuels; and</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tax and environmental regulation, including climate change legislation and clean energy policies.</w:t>
      </w:r>
    </w:p>
    <w:p>
      <w:pPr>
        <w:spacing w:after="0" w:line="223"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As of February 26, 2026, the West Texas Intermediate (WTI) price was $65.47 and the Western Canadian Select (WCS) price was $51.14, resulting in a discount (WCS Differential) at which WCS trades relative to WTI of $14.33. Should the price of WTI decline or the WCS discount to WTI widen further, our oil sands customers may delay or eliminate additional investments, reduce their spending in the oil sands region or curtail or shut-down existing operations. Further, since February 1, 2025, U.S. Administration has implemented and is in the process of implementing several new tariffs. The implementation, expansion or continuation of tariffs could have an adverse impact on our Australian and Canadian customers' profit margins and capital spending, which may in turn reduce their spending on our accommodations and services.</w:t>
      </w:r>
    </w:p>
    <w:p>
      <w:pPr>
        <w:spacing w:after="0" w:line="199"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In early 2026, geopolitical developments in Venezuela including direct U.S. military and strategic actions and efforts by the U.S. to exert control over Venezuelan crude oil production, exports, and sales have created heightened uncertainty in global crude oil markets. These actions have included U.S. seizures of Venezuelan oil tankers and U.S. assertions of influence over Venezuelan energy assets, as part of broader policy efforts to influence global energy supplies and prices. Because Canadian producers export a material portion of crude oil to U.S. markets, where prices are influenced by global supply dynamics and heavy crude availability, any sustained decline in Canadian crude prices relative to global benchmarks, whether due to increased Venezuelan supply, shifts in refinery feedstock preferences, or geopolitical risk premiums could reduce realized pricing for Canadian crude. Such outcome may materially reduce revenues for Canadian producers and affect broader energy sector economic conditions, including demand for services and infrastructure tied to Canadian oil markets.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customers and their operations are exposed to a number of unique operating risks and challenges which could also adversely affect us.</w:t>
      </w:r>
    </w:p>
    <w:p>
      <w:pPr>
        <w:spacing w:after="0" w:line="24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We could be materially adversely affected by disruptions to our customers’ operations. The price of and demand for natural resources produced by our customers may impact their desire and/or ability to continue producing existing projects or start new projects. Customers may also experience unexpected problems, higher costs or delays in commencing, developing or producing a project. Additionally, the willingness of natural resources companies to explore, develop and produce may be impacted by pressures to limit increases in capital spending generally and on met coal and hydrocarbons in particular, as well as by cost overruns on past and current projects, which could adversely impact demand for our services. Operating risks and challenges our customers face, which may ultimately affect their need for the accommodations and services we provide, include:</w:t>
      </w:r>
    </w:p>
    <w:p>
      <w:pPr>
        <w:spacing w:after="0" w:line="199" w:lineRule="exact"/>
        <w:rPr>
          <w:sz w:val="20"/>
          <w:szCs w:val="20"/>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commodity price volatility;</w:t>
      </w:r>
    </w:p>
    <w:p>
      <w:pPr>
        <w:spacing w:after="0" w:line="26"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unforeseen and adverse geological, geotechnical, seismic and mining conditions;</w:t>
      </w:r>
    </w:p>
    <w:p>
      <w:pPr>
        <w:spacing w:after="0" w:line="8" w:lineRule="exact"/>
        <w:rPr>
          <w:rFonts w:ascii="Arial" w:cs="Arial" w:eastAsia="Arial" w:hAnsi="Arial"/>
          <w:sz w:val="17"/>
          <w:szCs w:val="17"/>
          <w:color w:val="auto"/>
        </w:rPr>
      </w:pPr>
    </w:p>
    <w:p>
      <w:pPr>
        <w:ind w:left="620" w:hanging="310"/>
        <w:spacing w:after="0" w:line="250" w:lineRule="auto"/>
        <w:tabs>
          <w:tab w:leader="none" w:pos="615"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lack of availability or failure of the required infrastructure, including sourcing sufficient water or power, necessary to maintain or to expand their operations;</w:t>
      </w: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the breakdown or shortage of equipment and labor necessary to maintain their operations;</w:t>
      </w:r>
    </w:p>
    <w:p>
      <w:pPr>
        <w:spacing w:after="0" w:line="9"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project cost overruns and cost inflation;</w:t>
      </w:r>
    </w:p>
    <w:p>
      <w:pPr>
        <w:spacing w:after="0" w:line="8" w:lineRule="exact"/>
        <w:rPr>
          <w:rFonts w:ascii="Times New Roman" w:cs="Times New Roman" w:eastAsia="Times New Roman" w:hAnsi="Times New Roman"/>
          <w:sz w:val="17"/>
          <w:szCs w:val="17"/>
          <w:color w:val="auto"/>
        </w:rPr>
      </w:pPr>
    </w:p>
    <w:p>
      <w:pPr>
        <w:jc w:val="both"/>
        <w:ind w:left="620" w:hanging="310"/>
        <w:spacing w:after="0" w:line="251" w:lineRule="auto"/>
        <w:tabs>
          <w:tab w:leader="none" w:pos="615"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risks associated with the natural resources industry being subject to laws and regulations, including those governing air and greenhouse gas (GHG) emissions, as well as various regulatory approvals, including a government agency failing to grant an approval or failing to renew an existing approval, or the approval or renewal not being provided by the government agency in a timely manner or the government agency granting or renewing an approval subject to materially onerous conditions;</w:t>
      </w:r>
    </w:p>
    <w:p>
      <w:pPr>
        <w:spacing w:after="0" w:line="1"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risks to land titles, mining titles and use thereof as a result of native title claims;</w:t>
      </w:r>
    </w:p>
    <w:p>
      <w:pPr>
        <w:spacing w:after="0" w:line="9"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claims by persons living in close proximity to mining projects, which may have an impact on the consents granted;</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interruptions to the operations of our customers caused by governmental action, industrial accidents, disputes or public health emergencies; and</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operating costs to increase profitability.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depend on several significant customers.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depend on several significant customers, including customers that operate in the natural resources industry. The loss of any one of our largest customers in any of our business segments or a sustained decrease in demand by any of such customers could result in a substantial loss of revenues and could have a material adverse effect on our results of operations. In addition, the concentration of customers in the natural resources industry may impact our overall exposure to credit risk, either positively or negatively, in that customers may be similarly affected by changes in economic and industry conditions. With low and/or volatile oil and gas prices, some of our customers may face liquidity issues, which could impair their ability to pay or otherwise perform on their obligations. Furthermore, some of our customers may be highly leveraged and subject to their own operating and regulatory risks, which increases the risk that they may default on their obligations to us. For a more detailed explanation of our customers, see “Business” in Item 1 of this annual report.</w:t>
      </w:r>
    </w:p>
    <w:p>
      <w:pPr>
        <w:spacing w:after="0" w:line="199"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Failure to retain our current customers, renew our existing customer contracts and obtain new customer contracts, or the termination of existing contracts, could adversely affect our business.</w:t>
      </w:r>
    </w:p>
    <w:p>
      <w:pPr>
        <w:spacing w:after="0" w:line="172"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success depends on our ability to retain our current customers, renew or replace our existing customer contracts and obtain new business. Our ability to do so generally depends on a variety of factors, including overall customer expenditure levels and the quality, price and responsiveness of our services, as well as our ability to market these services effectively and differentiate ourselves from our competitors. We cannot assure that we will be able to obtain new business, renew existing customer contracts at the same or higher levels of pricing, or at all, or that our current customers will not turn to competitors, cease operations, elect to utilize their own, on-site accommodations or terminate contracts with us.</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business is contract intensive, and we are party to many contracts with customers. Due to the volatile nature of commodity prices, our customers may not renew contracts on terms favorable to us or, in some cases, at all, and we may have difficulty obtaining new business. Several contracts have clauses that allow termination upon the payment of a termination fee. As a result, our customers may choose to terminate their contracts. The likelihood that a customer may seek to terminate a contract is increased during periods of market volatility like those we are currently experiencing. Additionally, our exclusivity contracts do not include minimum room commitments, so we receive payment only if the customer utilizes our services. Finally, while we periodically review our compliance with contract terms and provisions, if customers were to dispute our contract determinations, the resolution of such disputes in a manner adverse to our interests, including customers withholding payments or modification of payment terms, could negatively affect sales and operating results.</w:t>
      </w:r>
    </w:p>
    <w:p>
      <w:pPr>
        <w:spacing w:after="0" w:line="205"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Customer contract cancellations, reduced customer utilization, the failure to renew a significant number of our existing contracts or the failure to obtain new business would have a material adverse effect on our business and results of operations.</w:t>
      </w:r>
    </w:p>
    <w:p>
      <w:pPr>
        <w:spacing w:after="0" w:line="172"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Due to the significant geographic concentration of our business, adverse events in areas where we operate could negatively impact our business, and our geographic concentration could limit the number of customers seeking our services.</w:t>
      </w:r>
    </w:p>
    <w:p>
      <w:pPr>
        <w:spacing w:after="0" w:line="159" w:lineRule="exact"/>
        <w:rPr>
          <w:sz w:val="20"/>
          <w:szCs w:val="20"/>
          <w:color w:val="auto"/>
        </w:rPr>
      </w:pPr>
    </w:p>
    <w:p>
      <w:pPr>
        <w:jc w:val="both"/>
        <w:ind w:firstLine="461"/>
        <w:spacing w:after="0" w:line="238" w:lineRule="auto"/>
        <w:rPr>
          <w:sz w:val="20"/>
          <w:szCs w:val="20"/>
          <w:color w:val="auto"/>
        </w:rPr>
      </w:pPr>
      <w:r>
        <w:rPr>
          <w:rFonts w:ascii="Times New Roman" w:cs="Times New Roman" w:eastAsia="Times New Roman" w:hAnsi="Times New Roman"/>
          <w:sz w:val="17"/>
          <w:szCs w:val="17"/>
          <w:color w:val="auto"/>
        </w:rPr>
        <w:t>Because of the concentration of our business in three relatively small geographic areas, the coal producing, Bowen Basin region of Queensland and New South Wales, Australia, the oil sands region of Alberta, Canada and the iron ore producing, Pilbara region of Western Australia, we have increased exposure in these areas to political, regulatory, environmental, labor, climate or natural disasters such as forest fires or flooding, events or developments that could disproportionately impact our operations and financial results. For example, in 2011 and 2017, cyclones and flooding threatened our villages in Queensland, Australia. Similarly, in 2011 and 2016, forest fires in northern Alberta impacted areas near our Canadian oil sands lodges. Moreover, global climate change may result in significant natural disasters occurring more frequently or with greater intensity, such as drought, wildfires, storms, sea-level rise, and flooding. Many of the areas in which we operate are very remote with limited local supplies, including availability of water, electricity or natural gas necessary to operate our business, and any significant adverse events such as those discussed above could impact our ability to obtain good or services and personnel.</w:t>
      </w:r>
    </w:p>
    <w:p>
      <w:pPr>
        <w:spacing w:after="0" w:line="21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addition, a limited number of potential customers operate in the areas in which our business is located, and occupancy at each of our lodges may be constrained by the radius which potential customers are willing to transport their workers. Our geographic concentration could limit the number of customers seeking our services, and as to any single lodge or village, we may have few potential customers. Therefore, we are subject to volatility in occupancy in any location based on the capital spending plans of a limited number of customers, based on their changing decisions as to whether to outsource or use their own company-owned accommodations and whether other potential customers move into that lodge’s radius.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if customers reduce their accommodations outsourcing.</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business and growth strategies depend in large part on customers outsourcing some or all of the services that we provide. Many natural resources companies in our core markets own their own accommodations assets, while others outsource all or part of their accommodations requirements. Customers have largely built their own accommodations in the past but will outsource for additional capacity or if they perceive that outsourcing may provide quality services at a lower overall cost or allow them to accelerate the timing of their projects. We cannot be certain that these customer preferences will continue or that customers that have previously outsourced accommodations will not decide to perform these functions themselves or only outsource accommodations during the development or construction phases of their projects. In addition, labor unions representing customer employees and contractors have, in the past, opposed outsourcing accommodations to the extent that the unions believe that third-party accommodations negatively impact union membership and recruiting. The reversal or reduction in customer outsourcing of accommodations could negatively impact our financial results and growth prospects.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Operations</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 and if we fail to compete effectively, our business will suffer.</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workforce accommodations and hospitality industry in which we operate is highly competitive. To be successful, we must provide hospitality services that meet the specific needs of our customers at competitive prices. The principal competitive factors in the markets in which we operate are service quality, availability, price, location, technical knowledge and experience and safety performance. We compete with international and regional competitors, several of which are significantly larger than us. These competitors offer similar services in the geographic regions in which we operate. Many natural resources companies in our core markets own their own accommodations assets and outsource their service requirements, while others outsource all or part of their accommodations requirements. As a result of competition, we may be unable to continue to provide our present services, to provide such services at historical operating margins or to acquire additional business opportunities, which could have a material adverse effect on our business, financial condition, results of operations and cash flows. Reduced levels of activity in the workforce accommodation industry can intensify competition and result in lower revenue to us.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operations may suffer due to over-capacity of certain types of accommodations assets in certain regions.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demand for and/or pricing of rooms and accommodation services is subject to the overall availability of rooms in a region. If demand for our assets were to decrease, or to the extent that we and our competitors have capacity in excess of current demand, we may encounter decreased pricing for, or utilization of, our assets and services, which could adversely impact our operations and profits. For example, we experienced a decrease in customer demand in 2020 for accommodations in the Canadian oil sands and our U.S. business as a result of the economic disruption caused by COVID-19, and experienced a corresponding decrease in our occupancy and profitability. Volatility in commodity price levels, any future global health crises, inflationary pressures, actions taken by OPEC+ to adjust production levels, geopolitical events such as the ongoing Russia/Ukraine and Middle East conflicts, and regulatory developments affecting such prices, among other factors, could cause our Australian met coal customers and Canadian oil sands and pipeline customers to reduce production, delay expansionary and maintenance spending and defer additional investments in their oil sands assets, which would cause a decrease in customer demand for our accommodations.</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Increased operating costs and limited cost recovery through pricing or contract terms may constrain our ability to make a profit.</w:t>
      </w:r>
    </w:p>
    <w:p>
      <w:pPr>
        <w:spacing w:after="0" w:line="233" w:lineRule="exact"/>
        <w:rPr>
          <w:sz w:val="20"/>
          <w:szCs w:val="20"/>
          <w:color w:val="auto"/>
        </w:rPr>
      </w:pPr>
    </w:p>
    <w:p>
      <w:pPr>
        <w:jc w:val="both"/>
        <w:ind w:firstLine="461"/>
        <w:spacing w:after="0" w:line="246" w:lineRule="auto"/>
        <w:rPr>
          <w:sz w:val="20"/>
          <w:szCs w:val="20"/>
          <w:color w:val="auto"/>
        </w:rPr>
      </w:pPr>
      <w:r>
        <w:rPr>
          <w:rFonts w:ascii="Times New Roman" w:cs="Times New Roman" w:eastAsia="Times New Roman" w:hAnsi="Times New Roman"/>
          <w:sz w:val="17"/>
          <w:szCs w:val="17"/>
          <w:color w:val="auto"/>
        </w:rPr>
        <w:t>Our profitability can be adversely affected to the extent we are faced with cost increases for food, wages and other labor related expenses, insurance, fuel and utilities, especially to the extent we are unable to recover such increased costs through increases in the prices for our services, due to one or more of general economic conditions, competitive conditions or contractual provisions in our customer contracts. For example, substantial increases in the cost of fuel and utilities have historically resulted in cost increases in our lodges and villages.</w:t>
      </w:r>
    </w:p>
    <w:p>
      <w:pPr>
        <w:spacing w:after="0" w:line="197" w:lineRule="exact"/>
        <w:rPr>
          <w:sz w:val="20"/>
          <w:szCs w:val="20"/>
          <w:color w:val="auto"/>
        </w:rPr>
      </w:pPr>
    </w:p>
    <w:p>
      <w:pPr>
        <w:jc w:val="both"/>
        <w:ind w:firstLine="461"/>
        <w:spacing w:after="0" w:line="239" w:lineRule="auto"/>
        <w:rPr>
          <w:sz w:val="20"/>
          <w:szCs w:val="20"/>
          <w:color w:val="auto"/>
        </w:rPr>
      </w:pPr>
      <w:r>
        <w:rPr>
          <w:rFonts w:ascii="Times New Roman" w:cs="Times New Roman" w:eastAsia="Times New Roman" w:hAnsi="Times New Roman"/>
          <w:sz w:val="17"/>
          <w:szCs w:val="17"/>
          <w:color w:val="auto"/>
        </w:rPr>
        <w:t>Over the past few years, we experienced, and may continue to experience, increases in our food costs from time to time due to increasing fuel prices, rising global food demand, other general inflationary pressures and rising supply chain issues affecting supply of goods. In addition, food prices can fluctuate as a result of foreign exchange rates and temporary changes in supply, including as a result of incidences of wildfires or severe weather such as droughts, heavy rains and late freezes, or other climate effects. Climate and natural disaster events, such as forest fires or flooding, have the ability to impact local crop production, limiting supply and therefore having an upward pressure on food prices. For example, large swathes of farmland across the Australian states of New South Wales, Queensland and Victoria in 2022 were inundated with flood waters, damaging wheat and other crops including fruit and vegetables.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9" w:name="page30"/>
    <w:bookmarkEnd w:id="29"/>
    <w:p>
      <w:pPr>
        <w:jc w:val="both"/>
        <w:ind w:firstLine="461"/>
        <w:spacing w:after="0" w:line="242" w:lineRule="auto"/>
        <w:rPr>
          <w:sz w:val="20"/>
          <w:szCs w:val="20"/>
          <w:color w:val="auto"/>
        </w:rPr>
      </w:pPr>
      <w:r>
        <w:rPr>
          <w:rFonts w:ascii="Times New Roman" w:cs="Times New Roman" w:eastAsia="Times New Roman" w:hAnsi="Times New Roman"/>
          <w:sz w:val="17"/>
          <w:szCs w:val="17"/>
          <w:color w:val="auto"/>
        </w:rPr>
        <w:t>A shortage of skilled labor could also result in higher wages due to more expensive temporary hire labor resources that would increase our labor costs, which could negatively affect our profitability. For example, within the past few years we have been impacted by increased staff costs as a result of hospitality labor shortages in Australia due to low levels of immigration into Australia and, specifically, an acute shortage of skilled labor. The reduced levels of immigration and shortage of skilled labor subsequently led to an increased reliance on more expensive temporary labor hire resources and negatively affected our profitability. Additionally, an increased proportion of temporary labor hire resources has the effect of driving up costs due to a lack of efficiency. The nature of temporary labor hire resource positions are short term, with key skills unable to be retained in our lodges and villages due to higher staff turnover.</w:t>
      </w:r>
    </w:p>
    <w:p>
      <w:pPr>
        <w:spacing w:after="0" w:line="200" w:lineRule="exact"/>
        <w:rPr>
          <w:sz w:val="20"/>
          <w:szCs w:val="20"/>
          <w:color w:val="auto"/>
        </w:rPr>
      </w:pPr>
    </w:p>
    <w:p>
      <w:pPr>
        <w:jc w:val="both"/>
        <w:ind w:firstLine="461"/>
        <w:spacing w:after="0" w:line="252" w:lineRule="auto"/>
        <w:rPr>
          <w:sz w:val="20"/>
          <w:szCs w:val="20"/>
          <w:color w:val="auto"/>
        </w:rPr>
      </w:pPr>
      <w:r>
        <w:rPr>
          <w:rFonts w:ascii="Times New Roman" w:cs="Times New Roman" w:eastAsia="Times New Roman" w:hAnsi="Times New Roman"/>
          <w:sz w:val="17"/>
          <w:szCs w:val="17"/>
          <w:color w:val="auto"/>
        </w:rPr>
        <w:t>While our multi-year contracts often provide for annual escalation in our room rates for food, labor and utility inflation, we may be unable to fully recover costs, or the recovery may be delayed, and such increases would negatively impact our profitability on contracts that do not contain such inflation protections.</w:t>
      </w:r>
    </w:p>
    <w:p>
      <w:pPr>
        <w:spacing w:after="0" w:line="191" w:lineRule="exact"/>
        <w:rPr>
          <w:sz w:val="20"/>
          <w:szCs w:val="20"/>
          <w:color w:val="auto"/>
        </w:rPr>
      </w:pPr>
    </w:p>
    <w:p>
      <w:pPr>
        <w:jc w:val="both"/>
        <w:ind w:firstLine="461"/>
        <w:spacing w:after="0" w:line="252" w:lineRule="auto"/>
        <w:rPr>
          <w:sz w:val="20"/>
          <w:szCs w:val="20"/>
          <w:color w:val="auto"/>
        </w:rPr>
      </w:pPr>
      <w:r>
        <w:rPr>
          <w:rFonts w:ascii="Times New Roman" w:cs="Times New Roman" w:eastAsia="Times New Roman" w:hAnsi="Times New Roman"/>
          <w:sz w:val="17"/>
          <w:szCs w:val="17"/>
          <w:color w:val="auto"/>
        </w:rPr>
        <w:t>Further, the U.S. and other countries have imposed and from time to time may impose or expand tariffs that affect the goods or raw materials we or our customers use or the products our customers provide. Any new tariffs impacting us or our customers could result in a cost increase in operating our lodges and villages or impact the demand for the services that we provide.</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Employee and customer labor problems could adversely affect us.</w:t>
      </w:r>
    </w:p>
    <w:p>
      <w:pPr>
        <w:spacing w:after="0" w:line="246" w:lineRule="exact"/>
        <w:rPr>
          <w:sz w:val="20"/>
          <w:szCs w:val="20"/>
          <w:color w:val="auto"/>
        </w:rPr>
      </w:pPr>
    </w:p>
    <w:p>
      <w:pPr>
        <w:jc w:val="both"/>
        <w:ind w:firstLine="461"/>
        <w:spacing w:after="0" w:line="253" w:lineRule="auto"/>
        <w:rPr>
          <w:sz w:val="20"/>
          <w:szCs w:val="20"/>
          <w:color w:val="auto"/>
        </w:rPr>
      </w:pPr>
      <w:r>
        <w:rPr>
          <w:rFonts w:ascii="Times New Roman" w:cs="Times New Roman" w:eastAsia="Times New Roman" w:hAnsi="Times New Roman"/>
          <w:sz w:val="17"/>
          <w:szCs w:val="17"/>
          <w:color w:val="auto"/>
        </w:rPr>
        <w:t>Our business is labor intensive requiring a significant number of employees to perform housekeeping, janitorial and food service functions at our locations or locations that we manage. As our operations grow or our occupancy increases, we require additional staff to take care of our guests at a standard we deem appropriate and necessary to operate safely. If we are unable to hire a sufficient labor force, we could be required to increase wages or use temporary labor at a higher cost and reduced efficiency. In recent years, we experienced, and expect to continue to experience, a shortage of labor for certain functions, inflationary pressures on wages, and an increasingly competitive labor market. The extent and duration of the effect of these labor market challenges are subject to numerous factors, including geopolitical events such as the ongoing Russia/Ukraine and Middle East conflicts, availability of qualified persons in the markets where we and our contracted service providers operate, inflation and unemployment levels within these markets and our reputation within the labor market. Inefficient operations or further increased labor costs resulting from these labor market challenges could negatively impact our profitability and could damage our reputation with our customers.</w:t>
      </w:r>
    </w:p>
    <w:p>
      <w:pPr>
        <w:spacing w:after="0" w:line="7" w:lineRule="exact"/>
        <w:rPr>
          <w:sz w:val="20"/>
          <w:szCs w:val="20"/>
          <w:color w:val="auto"/>
        </w:rPr>
      </w:pPr>
    </w:p>
    <w:p>
      <w:pPr>
        <w:jc w:val="both"/>
        <w:ind w:firstLine="461"/>
        <w:spacing w:after="0" w:line="252" w:lineRule="auto"/>
        <w:rPr>
          <w:sz w:val="20"/>
          <w:szCs w:val="20"/>
          <w:color w:val="auto"/>
        </w:rPr>
      </w:pPr>
      <w:r>
        <w:rPr>
          <w:rFonts w:ascii="Times New Roman" w:cs="Times New Roman" w:eastAsia="Times New Roman" w:hAnsi="Times New Roman"/>
          <w:sz w:val="17"/>
          <w:szCs w:val="17"/>
          <w:color w:val="auto"/>
        </w:rPr>
        <w:t>Additionally, as of December 31, 2025, we were party to collective bargaining agreements covering 491 employees in Canada and 1,609 employees in Australia. Efforts have been made from time to time to unionize other portions of our workforce. In addition, our facilities serving oil sands development work in Northern Alberta, Canada and mining operations in Australia house both union and non-union customer employees. We have not experienced strikes, work stoppages or other slowdowns in the past, but we cannot guarantee that we will not experience such events in the future. A prolonged strike, work stoppage or other slowdown by our employees or by the employees of our customers could cause us to experience a disruption of our operations or adversely impact our reputation, which could adversely affect our business and results of operations. Additional unionization efforts and new collective bargaining agreements also could materially increase our costs or limit our flexibility. Collective bargaining agreements in our Canadian operations have individual expiration dates, but in no case extend beyond 2028. Enterprise bargaining agreements in our Australian operations cover certain employees working at our villages in Queensland, New South Wales and Western Australia, as well as certain employees working at our integrated services sites in Western Australia. These agreements either have individual expiration dates or continue until either party seeks to have such agreement cancelled, but in no case extend beyond 2028.</w:t>
      </w:r>
    </w:p>
    <w:p>
      <w:pPr>
        <w:spacing w:after="0" w:line="2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Failure to develop or maintain positive relationships with the Indigenous people in the areas where we operate could adversely affect our business.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 component of our business strategy is based on developing and maintaining positive relationships with the Indigenous people and communities in the areas where we operate. These relationships are important to our operations and our customers who desire to work on traditional Indigenous lands. The inability to develop and maintain relationships and to be in compliance with local requirements could have an adverse effect on our business and results of operations.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Development or required use of permanent infrastructure in the areas where we locate our assets could negatively impact our business.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specialize in providing hospitality services for workforces in remote areas which often lack the infrastructure typically available in nearby towns and cities. If permanent towns, cities and municipal infrastructure develop, grow or otherwise become available in the regions of Australia where we operate, the oil sands region of northern Alberta, Canada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30" w:name="page31"/>
    <w:bookmarkEnd w:id="30"/>
    <w:p>
      <w:pPr>
        <w:jc w:val="both"/>
        <w:spacing w:after="0" w:line="284" w:lineRule="auto"/>
        <w:rPr>
          <w:sz w:val="20"/>
          <w:szCs w:val="20"/>
          <w:color w:val="auto"/>
        </w:rPr>
      </w:pPr>
      <w:r>
        <w:rPr>
          <w:rFonts w:ascii="Times New Roman" w:cs="Times New Roman" w:eastAsia="Times New Roman" w:hAnsi="Times New Roman"/>
          <w:sz w:val="17"/>
          <w:szCs w:val="17"/>
          <w:color w:val="auto"/>
        </w:rPr>
        <w:t>the west coast of British Columbia, then demand for our hospitality services could decrease as customer employees move to the region and choose to utilize permanent housing and food service.</w:t>
      </w:r>
    </w:p>
    <w:p>
      <w:pPr>
        <w:spacing w:after="0" w:line="17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majority of our Canadian business depends on providing accommodations and related services to fly-in/fly-out workers supporting natural resource development projects, including oil sands operations in Alberta, Canada. Certain provincial government officials and policymakers, including representatives of the Government of Alberta, have publicly expressed a preference for increased use of local workforces and for workers to reside in nearby communities, such as Fort McMurray, rather than utilizing fly-in/fly-out employment models supported by temporary workforce accommodations and camps.</w:t>
      </w:r>
    </w:p>
    <w:p>
      <w:pPr>
        <w:spacing w:after="0" w:line="19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Although there is currently no comprehensive legislation prohibiting fly-in/fly-out arrangements, government policies, permitting decisions, infrastructure planning, fiscal incentives, or informal regulatory pressures could increasingly discourage or restrict the use of workforce camps or other temporary accommodations. Such measures could include limitations on approvals for new camps, restrictions on the expansion or renewal of existing facilities, or incentives favoring permanent residential development over temporary accommodations.</w:t>
      </w:r>
    </w:p>
    <w:p>
      <w:pPr>
        <w:spacing w:after="0" w:line="19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If resource operators respond to these policies by reducing or eliminating fly-in/fly-out employment practices, relocating workers to permanent housing in local communities, or delaying or canceling projects that rely on a transient workforce, demand for our accommodations and services could decline. Any such reduction in demand could result in lower occupancy rates, reduced revenues, impairment of long-lived assets, or the loss of existing or prospective customer contracts.</w:t>
      </w:r>
    </w:p>
    <w:p>
      <w:pPr>
        <w:spacing w:after="0" w:line="19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In addition, changes in workforce policies may occur with limited advance notice and could vary by jurisdiction or project, making it difficult for us to anticipate, plan for, or mitigate their impact. We may not be able to offset adverse effects through diversification, price adjustments, or alternative uses of our assets, particularly where our facilities are located in remote or single-industry regions. As a result, changes in government policy or regulatory attitudes toward fly-in/fly-out workforces could materially and adversely affect our business.</w:t>
      </w:r>
    </w:p>
    <w:p>
      <w:pPr>
        <w:spacing w:after="0" w:line="190"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 failure to maintain food safety or comply with government regulations related to food and beverages or serving alcoholic beverages may subject us to liability.</w:t>
      </w:r>
    </w:p>
    <w:p>
      <w:pPr>
        <w:spacing w:after="0" w:line="172"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Claims of illness or injury relating to food quality or food handling are common in the food service industry, and a number of these claims may exist at any given time. Because food safety issues could be experienced at the source or by food suppliers or distributors, food safety could, in part, be out of our control. Regardless of the source or cause, any report of food-borne illness or other food safety issues such as food tampering or contamination at one of our locations could adversely impact our reputation, hindering our ability to renew contracts on favorable terms or to obtain new business, and have a negative impact on our revenue. Future food product recalls and health concerns associated with food contamination may also increase our raw materials costs and, from time to time, disrupt our business.</w:t>
      </w:r>
    </w:p>
    <w:p>
      <w:pPr>
        <w:spacing w:after="0" w:line="199"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 variety of regulations at various governmental levels relating to the handling, preparation and serving of food (including, in some cases, requirements relating to the temperature of food), cleanliness of food production facilities and hygiene of food-handling personnel are enforced primarily at the local public health department level. We can give no assurances that we are in full compliance with all applicable laws and regulations at all times or that we will be able to comply with any future laws and regulations. Furthermore, legislation and regulatory attention to food safety is very high. Additional or amended regulations in this area may significantly increase the cost of compliance or expose us to liabilities.</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serve alcoholic beverages at some of our facilities and must comply with applicable licensing laws, as well as local service laws. These laws generally prohibit serving alcoholic beverages to certain persons such as a patron who is intoxicated or a minor. If we violate these laws, we may be liable to the patron and/or to third parties for the acts of the patron. We cannot guarantee that certain patrons will not be served or that liability for their acts will not be imposed on us. There can be no assurance that additional regulation in this area would not limit our activities in the future or significantly increase the cost of regulatory compliance. We must also obtain and comply with the terms of licenses in order to sell alcoholic beverages in the jurisdictions in which we serve alcoholic beverages. If we are unable to maintain food safety or comply with government regulations related to food, beverages or alcoholic beverages, the effect could be materially adverse to our business and results of operations.</w:t>
      </w:r>
    </w:p>
    <w:p>
      <w:pPr>
        <w:spacing w:after="0" w:line="199"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U.S. or foreign trade policies, including tariffs and other protectionist trade measures, may adversely impact our future net income, cash flows and financial condition.</w:t>
      </w:r>
    </w:p>
    <w:p>
      <w:pPr>
        <w:spacing w:after="0" w:line="172" w:lineRule="exact"/>
        <w:rPr>
          <w:sz w:val="20"/>
          <w:szCs w:val="20"/>
          <w:color w:val="auto"/>
        </w:rPr>
      </w:pPr>
    </w:p>
    <w:p>
      <w:pPr>
        <w:jc w:val="both"/>
        <w:ind w:firstLine="461"/>
        <w:spacing w:after="0" w:line="227" w:lineRule="exact"/>
        <w:rPr>
          <w:sz w:val="20"/>
          <w:szCs w:val="20"/>
          <w:color w:val="auto"/>
        </w:rPr>
      </w:pPr>
      <w:r>
        <w:rPr>
          <w:rFonts w:ascii="Times New Roman" w:cs="Times New Roman" w:eastAsia="Times New Roman" w:hAnsi="Times New Roman"/>
          <w:sz w:val="17"/>
          <w:szCs w:val="17"/>
          <w:color w:val="auto"/>
        </w:rPr>
        <w:t>The U.S. administration has taken executive action and proposed additional measures intended to alter the U.S. approach to international trade policy, the terms of certain existing bilateral or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lateral trade agreements and trading arrangements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7"/>
          <w:szCs w:val="17"/>
          <w:color w:val="auto"/>
        </w:rPr>
        <w:t>with foreign countries. Such changes to U.S. international trade policy, and retaliatory trade measures that foreign governments take in response, including the imposition of tariffs, sanctions, export or import controls, and other measures that restrict international trade, or the threat of such actions, could result in additional increases in the global cost of certain goods, services and cost of capital. In addition, related geopolitical and domestic political developments, such as existing and potential trade wars and uncertainty regarding changes in trade policy, have increased and may continue to increase levels of political and economic unpredictability globally and the volatility of global financial markets. As a result, prevailing macroeconomic conditions may adversely impact our future net income, cash flows and financial condition.</w:t>
      </w:r>
    </w:p>
    <w:p>
      <w:pPr>
        <w:spacing w:after="0" w:line="193"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majority of our major Canadian lodges are located on land subject to leases. If we are unable to renew a lease or obtain permits necessary to operate on such leased land, we could be materially and adversely affected.</w:t>
      </w:r>
    </w:p>
    <w:p>
      <w:pPr>
        <w:spacing w:after="0" w:line="172"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majority of our major Canadian lodges are located on land subject to provincial leases. Accordingly, while we own the accommodations assets, we only own a leasehold in those properties. If we are found to be in breach of a lease, we could lose the right to use the property. In addition, our leases generally have an initial term of ten years and unless extended will expire between 2027 and 2035 with the exception of one lease that expires in 2049. Unless we can extend the terms of these leases before their expiration, as to which no assurance can be given, we will lose our right to operate our facilities located on these properties upon expiration of the leases. In that event, we would be required to remove our accommodations assets and remediate the site at our own cost, which could be material. For example, we did not renew a land lease associated with our McClelland Lake Lodge in Alberta, Canada, that expired in June 2023 and sold the related assets in January 2024 in order to support our customer’s intent to mine the land where the lodge was located. Our assets associated with our McClelland Lake Lodge were demobilized, for which we recognized $15.4 million in demobilization costs, and completely removed from the then existing site in the first quarter of 2024.</w:t>
      </w:r>
    </w:p>
    <w:p>
      <w:pPr>
        <w:spacing w:after="0" w:line="201"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As of December 31, 2025, we had asset retirement obligation liabilities on our balance sheet of $16.9 million. Consistent with U.S. generally accepted accounting principles, these liabilities are the estimated present value of the amount of required asset removal and site remediation costs related to the retirement of assets. Should the remediation requirement be accelerated, our near term cash obligation could be significantly larger than the liability currently on our balance sheet and could negatively impact our cash flows and liquidity.</w:t>
      </w:r>
    </w:p>
    <w:p>
      <w:pPr>
        <w:spacing w:after="0" w:line="19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Lease renewals and extensions are subject to government discretion and may be influenced by evolving policy priorities, permitting practices, infrastructure planning, or regulatory or political considerations. Changes in government policy could increasingly discourage or restrict the continued use, expansion, or renewal of leased land for temporary accommodations, or could result in lease renewals being offered only on terms that are economically less attractive to us. Also, in certain areas in which we operate, we are required to seek permits from local government agencies in order to build a new lodge or operate an existing lodge on leased land. We can provide no assurances that we will be able to renew our leases or permits upon expiration on similar terms, or at all. If we are unable to renew our leases or permits on similar terms, it may have an adverse effect on our business and results of operations.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are susceptible to seasonal earnings volatility due to seasonal weather patterns in our regions of operations.</w:t>
      </w:r>
    </w:p>
    <w:p>
      <w:pPr>
        <w:spacing w:after="0" w:line="24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operations are directly affected by seasonal differences in weather in the areas in which we operate. During the Australian rainy season, generally between the months of November and April, our operations in Queensland and the northern parts of Western Australia can be affected by cyclones, monsoons and flooding. A portion of our Canadian operations is conducted during the winter months when the winter freeze in remote regions is required for exploration and production activity to occur. The spring thaw in these frontier regions restricts operations in the spring months and, as a result, adversely affects our operations and our ability to provide services in the second quarter. Additionally, the areas in which we operate are susceptible to wildfires. Finally, global climate change may</w:t>
      </w:r>
    </w:p>
    <w:p>
      <w:pPr>
        <w:spacing w:after="0" w:line="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result in certain of these adverse weather conditions occurring more frequently or with greater intensity. If any of these conditions occur, our operations could be interrupted and our earnings may be adversely impacted.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risks associated with the transportation, installation and demobilization of mobile accommodations.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currently have several contracts to transport and install modular, skid-mounted accommodations and central facilities that can be quickly configured to serve a multitude of short- to medium-term accommodation needs. In connection with the transportation and installation of these facilities, we may be exposed to various risks, including: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2" w:name="page33"/>
    <w:bookmarkEnd w:id="32"/>
    <w:p>
      <w:pPr>
        <w:ind w:left="620" w:hanging="310"/>
        <w:spacing w:after="0" w:line="261" w:lineRule="auto"/>
        <w:tabs>
          <w:tab w:leader="none" w:pos="615"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delays in necessary approvals to install the facilities or objections to our activities or those of our customers aired by aboriginal or community interests, environmental and/or neighborhood groups which may cause delays in the granting of such approvals and/or the overall progress of a project;</w:t>
      </w:r>
    </w:p>
    <w:p>
      <w:pPr>
        <w:ind w:left="620" w:hanging="310"/>
        <w:spacing w:after="0" w:line="251" w:lineRule="auto"/>
        <w:tabs>
          <w:tab w:leader="none" w:pos="615"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challenges during installation, including problems, defects, inclement weather conditions, land contamination, cultural heritage claims, difficult site access or industrial relations issues; and</w:t>
      </w:r>
    </w:p>
    <w:p>
      <w:pPr>
        <w:ind w:left="620" w:hanging="310"/>
        <w:spacing w:after="0"/>
        <w:tabs>
          <w:tab w:leader="none" w:pos="62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risks related to the quality of our materials and workmanship, including warranties and defect liability obligations.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security threats, including cybersecurity threats and other disruptions.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face various security threats, including cybersecurity threats to our data and systems and those of third-party service providers, threats to the safety of our employees, threats to the security of our facilities and infrastructure or third-party facilities and infrastructure and threats from terrorist acts. Although we utilize various procedures and controls to monitor these threats and mitigate our exposure to such threats, including cybersecurity insurance, there can be no assurance that these procedures and controls will be sufficient in preventing security threats from materializing, including attempts to gain unauthorized access to sensitive information or to render data or systems unusable or hold them for ransom. If any of these events were to materialize, they could lead to losses of sensitive information, critical infrastructure, personnel or capabilities essential to our operations and could have a material adverse effect on our reputation, competitive position, financial position, results of operations or cash flows.</w:t>
      </w:r>
    </w:p>
    <w:p>
      <w:pPr>
        <w:spacing w:after="0" w:line="205"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Cybersecurity threats in particular develop and evolve rapidly, including from emerging technologies, such as advanced forms of artificial intelligence (AI). Due to evolving cybersecurity threats, it has and will continue to be difficult to prevent, detect, mitigate, and remediate cybersecurity incidents. Such threats include, but are not limited to, malicious software, attempts to gain unauthorized access to data, ransomware attacks and other electronic security breaches that could lead to disruptions in critical systems, unauthorized release of or denial of access to confidential or otherwise protected information and corruption of data. We have experienced, and expect to continue to confront, efforts by hackers and other third parties to gain unauthorized access or deny access to, or otherwise disrupt, our information systems and networks. While we have not experienced a material cybersecurity incident in the last three years, a material cybersecurity incident could result in increased costs to prevent, respond to or mitigate cybersecurity incidents, damage to our brand or reputation, or otherwise result in a material adverse effect on our business, financial condition, results of operations or liquidity. Moreover, a delay in or failure to detect a cybersecurity incident, or the full extent of an incident, could exacerbate the effects of the incident.</w:t>
      </w:r>
    </w:p>
    <w:p>
      <w:pPr>
        <w:spacing w:after="0" w:line="205"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addition, we are subject to evolving laws and regulations governing data protection and the unauthorized disclosure of confidential information, which are evolving and can vary significantly by jurisdiction. Such laws and regulations may pose increasingly complex compliance challenges and elevate our compliance costs. Any failure by us to comply with these laws and regulations, including as a result of a cybersecurity or data protection incident, could result in a loss of sensitive information, litigation, regulatory action and potential liability. Further, we may incur additional costs or operational impacts related to the prevention, response or remediation of a cybersecurity or data protection incident, and such costs may not fully be covered by insurance coverage or indemnified by other means.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any failure of our information systems.</w:t>
      </w:r>
    </w:p>
    <w:p>
      <w:pPr>
        <w:spacing w:after="0" w:line="233" w:lineRule="exact"/>
        <w:rPr>
          <w:sz w:val="20"/>
          <w:szCs w:val="20"/>
          <w:color w:val="auto"/>
        </w:rPr>
      </w:pPr>
    </w:p>
    <w:p>
      <w:pPr>
        <w:jc w:val="both"/>
        <w:ind w:firstLine="461"/>
        <w:spacing w:after="0" w:line="237" w:lineRule="auto"/>
        <w:rPr>
          <w:sz w:val="20"/>
          <w:szCs w:val="20"/>
          <w:color w:val="auto"/>
        </w:rPr>
      </w:pPr>
      <w:r>
        <w:rPr>
          <w:rFonts w:ascii="Times New Roman" w:cs="Times New Roman" w:eastAsia="Times New Roman" w:hAnsi="Times New Roman"/>
          <w:sz w:val="17"/>
          <w:szCs w:val="17"/>
          <w:color w:val="auto"/>
        </w:rPr>
        <w:t>We depend on our information systems to actively manage our accommodation services, including with respect to administrative functions, financial and operational data, ordering and point of sale processing, to enhance our ability to optimize facility utilization, occupancy, costs of goods sold and average daily rate. The failure of our information systems to perform as anticipated could damage our reputation with our customers, disrupt our business or result in, among other things, decreased revenue and increased costs. Any such failure could harm our business, results of operations and financial condition. In addition, the delay or failure to implement information system upgrades and new systems effectively could disrupt our business, distract management’s focus and attention from business operations and growth initiatives, and increase our implementation and operating costs, any of which could materially adversely affect our operations and operating results. Furthermore, these technologies may require refinements and upgrades, which may require significant investment by us. As various systems and technologies become outdated or new technology is required, we may not be able to replace or introduce them as quickly as needed or in a cost- effective and timely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manner. As a result, we may not achieve the benefits we may have been anticipating from any new technology or system</w:t>
      </w:r>
      <w:r>
        <w:rPr>
          <w:rFonts w:ascii="Arial" w:cs="Arial" w:eastAsia="Arial" w:hAnsi="Arial"/>
          <w:sz w:val="18"/>
          <w:szCs w:val="18"/>
          <w:color w:val="auto"/>
        </w:rPr>
        <w:t>.</w:t>
      </w:r>
    </w:p>
    <w:p>
      <w:pPr>
        <w:spacing w:after="0" w:line="176" w:lineRule="exact"/>
        <w:rPr>
          <w:sz w:val="20"/>
          <w:szCs w:val="20"/>
          <w:color w:val="auto"/>
        </w:rPr>
      </w:pPr>
    </w:p>
    <w:p>
      <w:pPr>
        <w:jc w:val="both"/>
        <w:ind w:firstLine="461"/>
        <w:spacing w:after="0" w:line="206" w:lineRule="exact"/>
        <w:rPr>
          <w:sz w:val="20"/>
          <w:szCs w:val="20"/>
          <w:color w:val="auto"/>
        </w:rPr>
      </w:pPr>
      <w:r>
        <w:rPr>
          <w:rFonts w:ascii="Times New Roman" w:cs="Times New Roman" w:eastAsia="Times New Roman" w:hAnsi="Times New Roman"/>
          <w:sz w:val="17"/>
          <w:szCs w:val="17"/>
          <w:color w:val="auto"/>
        </w:rPr>
        <w:t>We occasionally rely on commercially available software products to support and operate key business functions. For many of these,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vendors have incorporated, or are in the process of incorporating, AI capabilities into their products. The integration of AI features by our suppliers introduces additional risks, including potential vulnerabilities arising from opaque or proprietary model architectures, limitations on our ability to independently audit or validate these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functions, and increased dependence on vendor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driven updates or controls. Although we have adopted risk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mitigation principles and practices aligned with the National Institute of Standards and Technology Artificial Intelligence Risk Management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3" w:name="page34"/>
    <w:bookmarkEnd w:id="33"/>
    <w:p>
      <w:pPr>
        <w:jc w:val="both"/>
        <w:spacing w:after="0" w:line="203" w:lineRule="exact"/>
        <w:rPr>
          <w:sz w:val="20"/>
          <w:szCs w:val="20"/>
          <w:color w:val="auto"/>
        </w:rPr>
      </w:pPr>
      <w:r>
        <w:rPr>
          <w:rFonts w:ascii="Times New Roman" w:cs="Times New Roman" w:eastAsia="Times New Roman" w:hAnsi="Times New Roman"/>
          <w:sz w:val="17"/>
          <w:szCs w:val="17"/>
          <w:color w:val="auto"/>
        </w:rPr>
        <w:t>Framework (AI RMF), including processes designed to assess, monitor, and govern the behavior, security, and reliability of AI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enabled systems, these measures are new and may not be sufficient to eliminate all risks associated with the use of AI technologies. As a result, we may be exposed to operational, compliance, cybersecurity, and data integrity risks associated with the performance or behavior of embedded AI systems. If these AI features do not function as intended, are improperly trained, or generate inaccurate, biased, or misleading outputs, we could experience system implementation failures, operational disruptions, or decision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making based on erroneous information. Such outcomes could adversely affect business performance, impair customer or stakeholder trust, or harm our reputation.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Loss of key members of our management could adversely affect our business.</w:t>
      </w:r>
    </w:p>
    <w:p>
      <w:pPr>
        <w:spacing w:after="0" w:line="23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depend on the continued employment and performance of key members of our management. If any of our key managers resign or become unable to continue in their present roles and are not adequately replaced, our business operations could be materially adversely affected. We do not maintain “key man” life insurance for any of our officers.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effects of public health crises, pandemics and epidemics may materially affect how we and our customers are operating our and their businesses.</w:t>
      </w:r>
    </w:p>
    <w:p>
      <w:pPr>
        <w:spacing w:after="0" w:line="24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Public health crises, pandemics and epidemics, such as the COVID-19 pandemic, have adversely impacted, and may in the future adversely impact, worldwide economic activity, including the operations of natural resources companies in Australia, Canada and the U.S. and the worldwide demand for natural resources. Other effects of such public health crises, pandemics and epidemics include significant volatility and disruption of the global financial markets; volatility of commodity prices and related uncertainties around OPEC+ production; disruption of operations resulting from decreased customer demand and labor shortages; supply chain disruptions or equipment shortages; reduced capital spending by oil and gas companies; and employee impacts and labor shortages from illness, travel restrictions, including border closures, and other community response measures.</w:t>
      </w:r>
    </w:p>
    <w:p>
      <w:pPr>
        <w:spacing w:after="0" w:line="199"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extent to which our business operations and financial results may be affected by such public health crises, pandemics and epidemics depends on various factors beyond our control, such as the duration, severity and sustained geographic impact of the outbreak; the impact and effectiveness of governmental actions to contain and treat such outbreaks, including government policies and restrictions; the availability of effective vaccines and other treatments; vaccine hesitancy, vaccine mandates, and voluntary or mandatory quarantines; and the global response surrounding such uncertainties.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Financial/Accounting Risks</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Currency exchange rate fluctuations could adversely affect our U.S. dollar reported results of operations and financial position.</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reporting currency is the U.S. dollar, and we are exposed to currency exchange risk primarily between the U.S. dollar and the Australian and Canadian dollars. For the year ended December 31, 2025, 100% of our revenues originated from subsidiaries outside of the U.S. and were denominated in either the Australian dollar or the Canadian dollar. As a result, a material decrease in the value of these currencies relative to the U.S. dollar has had, and may have in the future, a negative impact on our reported revenues, net income, financial condition and cash flows. Any currency controls implemented by local monetary authorities in countries where we currently operate could also adversely affect our business, financial condition and results of operations. We may attempt to limit the risks of currency fluctuation where possible by entering into financial instruments to protect against foreign currency exposure, but, to date, we have not entered into any foreign currency financial instruments. Our efforts to limit exchange risks may be unsuccessful, thereby exposing us to foreign currency fluctuations that could cause our results of operations, financial condition and cash flows to deteriorate.</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restrict our strategy and operations and make us more vulnerable to adverse economic conditions.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As of December 31, 2025, we had approximately $182.8 million outstanding under the revolving portion of our Syndicated Facility Agreement (as amended to date, the Credit Agreement), $0.9 million of outstanding letters of credit and an additional $75.9 million in remaining capacity to borrow under the revolving portion of the Credit Agreement. If market or other economic conditions remain depressed or further deteriorate, our borrowing capacity may be reduced.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02" w:right="339" w:bottom="1440" w:gutter="0" w:footer="0" w:header="0"/>
        </w:sectPr>
      </w:pPr>
    </w:p>
    <w:bookmarkStart w:id="34" w:name="page35"/>
    <w:bookmarkEnd w:id="34"/>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Credit Agreement contains, and any future indebtedness we incur may contain, a number of restrictive covenants that impose significant operating and financial restrictions on us and may limit our ability to, among other things, borrow funds, dispose of assets, pay dividends and make certain investments. In addition, these covenants also may limit our ability to obtain future financings, make needed capital expenditures, withstand a continued downturn in our business or a downturn in the economy in general or otherwise conduct necessary corporate activities. Our ability to comply with these covenants may be affected by events beyond our control. Declines in commodity prices, or a prolonged period of commodity prices at depressed levels, could eventually result in our failing to meet one or more of the financial covenants under the Credit Agreement, which could require us to refinance or amend such obligations resulting in the payment of consent fees or higher interest rates, or require us to raise additional capital at an inopportune time or on terms not favorable to us.</w:t>
      </w:r>
    </w:p>
    <w:p>
      <w:pPr>
        <w:spacing w:after="0" w:line="205"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A failure to comply with these covenants, ratios or tests could also result in an event of default. A default under the Credit Agreement, if not cured or waived, could result in acceleration of all indebtedness outstanding thereunder. The accelerated debt would become immediately due and payable. If that should occur, we may be unable to pay all such debt or to borrow sufficient funds to refinance it. Even if new financing were then available, it may not be on terms that are acceptable to us. In addition, in the event of an event of default under the Credit Agreement, the lenders could foreclose on the collateral securing the credit facility and require repayment of all borrowings outstanding. If the amounts outstanding under the credit facility or any of our other indebtedness were to be accelerated, our assets may not be sufficient to repay in full the money owed to the lenders or to our other debt holders. Moreover, any new indebtedness we incur may impose financial restrictions and other covenants on us that may be more restrictive than our existing debt agreements.</w:t>
      </w:r>
    </w:p>
    <w:p>
      <w:pPr>
        <w:spacing w:after="0" w:line="205" w:lineRule="exact"/>
        <w:rPr>
          <w:sz w:val="20"/>
          <w:szCs w:val="20"/>
          <w:color w:val="auto"/>
        </w:rPr>
      </w:pPr>
    </w:p>
    <w:p>
      <w:pPr>
        <w:jc w:val="both"/>
        <w:ind w:firstLine="461"/>
        <w:spacing w:after="0" w:line="257" w:lineRule="auto"/>
        <w:rPr>
          <w:sz w:val="20"/>
          <w:szCs w:val="20"/>
          <w:color w:val="auto"/>
        </w:rPr>
      </w:pPr>
      <w:r>
        <w:rPr>
          <w:rFonts w:ascii="Times New Roman" w:cs="Times New Roman" w:eastAsia="Times New Roman" w:hAnsi="Times New Roman"/>
          <w:sz w:val="17"/>
          <w:szCs w:val="17"/>
          <w:color w:val="auto"/>
        </w:rPr>
        <w:t>Our ability to service our debt, including repaying outstanding borrowings under our Credit Agreement at maturity, will depend upon, among other things, our future financial and operating performance, which will be affected by prevailing economic conditions and financial, business, regulatory and other factors, some of which are beyond our control. If our business does not generate sufficient cash flows from operations to enable us to meet our obligations under our indebtedness, we will be forced to take actions such as reducing or delaying business activities, including dividend payments and share repurchases, acquisitions, investments and/or capital expenditures, selling assets, restructuring or refinancing our indebtedness or seeking additional equity capital. We may not be able to effect any of these remedies on satisfactory terms or at all, which could have a material adverse effect on our business, financial condition, results of operations and cash flows.</w:t>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adequate insurance for potential liabilities and insurance may not cover certain liabilities.</w:t>
      </w:r>
    </w:p>
    <w:p>
      <w:pPr>
        <w:spacing w:after="0" w:line="246"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Our operations are subject to many hazards. In the ordinary course of business, we become the subject of various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the activities of businesses that we have acquired, even though these activities may have occurred prior to our acquisition of such businesses. We maintain insurance to cover many of our potential losses, including cyber risk insurance, and we are subject to various self-retentions and deductibles under our insurance policies. It is possible, however, that a judgment could be rendered against us in cases in which we could be uninsured and beyond the amounts that we currently have reserved or anticipate incurring for such matters. Even a partially uninsured or underinsured claim, if successful and of significant size, could have a material adverse effect on our results of operations or consolidated financial position. In addition, we are insured under certain insurance policies of Oil States International, Inc. (Oil States) for occurrences prior to the completion of our spin-off from Oil States in May 2014 (the Spin-Off). The specifications and insured limits under those policies, however, may be insufficient for such claims. We also face other risks related to our insurance coverage, including (i) we may not be able to continue to obtain insurance on commercially reasonable terms; (ii) the counterparties to our insurance contracts may pose credit risks; (iii) we may incur losses from interruption of our business that exceed our insurance coverage; and (iv) we may not be able to procure insurance for certain risks due to various factors including insurance market constraints.</w:t>
      </w:r>
    </w:p>
    <w:p>
      <w:pPr>
        <w:spacing w:after="0" w:line="200"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cyclical nature of our business and a severe prolonged downturn has, and could in the future, negatively affect the value of our long-lived assets and our goodwill.</w:t>
      </w:r>
    </w:p>
    <w:p>
      <w:pPr>
        <w:spacing w:after="0" w:line="172"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recorded impairments of our long-lived assets of zero, $11.6 million and $1.4 million in 2025, 2024 and 2023, respectively. As of December 31, 2025, goodwill of $7.5 million at our Australian reporting unit represented 2% of total assets.</w:t>
      </w:r>
    </w:p>
    <w:p>
      <w:pPr>
        <w:spacing w:after="0" w:line="17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Factors that may cause us to recognize further impairment losses on our long-lived assets or on the goodwill at our Australian reporting unit include, among other things, extended periods of limited or no activity by our customers at our lodges or villages, increased or unanticipated competition, and downward forecast revisions or restructuring plans or if certain of our customers do not reach positive final investment decisions on projects with respect to which we have been awarded contracts to provide related accommodation, which may cause those customers to terminate the contracts.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5" w:name="page36"/>
    <w:bookmarkEnd w:id="35"/>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inability to control the inherent risks of identifying, acquiring and integrating businesses that we may acquire, including any related increases in debt or issuances of equity securities, could adversely affect our operations.</w:t>
      </w:r>
    </w:p>
    <w:p>
      <w:pPr>
        <w:spacing w:after="0" w:line="172"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Acquisitions have been, and our management believes acquisitions will continue to be, a key element of our growth strategy. We may not be able to identify and acquire acceptable acquisition candidates on favorable terms in the future. We may be required to incur substantial indebtedness to finance future acquisitions and also may issue equity securities in connection with such acquisitions. Such additional debt service requirements could impose a significant burden on our results of operations and financial condition. The issuance of additional equity securities could result in significant dilution to shareholders. In addition, overpayment of an acquisition could cause potential impairments which could affect our results of operations.</w:t>
      </w:r>
    </w:p>
    <w:p>
      <w:pPr>
        <w:spacing w:after="0" w:line="200"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We expect to gain certain business, financial and strategic advantages as a result of business combinations or asset acquisitions we undertake, including synergies and operating efficiencies. Our forward-looking statements assume that we will successfully integrate our acquisitions and realize these intended benefits. For example, on May 6, 2025, we acquired the assets of Qantac Pty Ltd (Qantac), located in Queensland, Australia (the Qantac Acquisition) for total consideration of A$105 million (or approximately US$68 million) in cash. The Qantac Acquisition included four villages, with 1,368 rooms in Australia’s Bowen Basin and the associated accommodation assets, land and customer contracts. There can be no assurance that we will successfully integrate the assets from the Qantac Acquisition into our existing operations in the Bowen Basin or realize the anticipated synergies, operating efficiencies or financial benefits within the expected timeframe, or at all. Additionally, the success of any other acquisitions we make depends, in large part, (i) on the risk that any such acquisition may not be completed in a timely manner or at all, which may adversely affect our business and the price of our common shares, and (ii) our ability to realize the anticipated benefits, including operating synergies from integrating such assets and retaining key employees, vendors and customers associated with such acquired assets. An inability to successfully integrate acquired assets or businesses and to realize expected strategic advantages as a result of any acquisition would negatively affect the anticipated benefits of any such acquisition.</w:t>
      </w:r>
    </w:p>
    <w:p>
      <w:pPr>
        <w:spacing w:after="0" w:line="20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Additionally, an acquisition may bring us into businesses we have not previously conducted or geographies in which we have not previously operated and expose us to additional business risks that are different from those we have previously experienced. Our future success depends, in part, upon our ability to manage this expanded business, which will pose substantial challenges for our management, including challenges related to the management and monitoring of new operations and associated increased costs and complexity. If we fail to manage any of these risks successfully, our business could be harmed. Our capitalization and results of operations may change significantly following an acquisition, and our shareholders may not have the opportunity to evaluate the economic, financial and other relevant information that we will consider in evaluating future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Legal and Regulatory Risks</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do business in Australia and Canada, whose political and regulatory environments and compliance regimes differ from those in the U.S.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All our consolidated revenue is attributable to operations in Australia and Canada in the year ended December 31, 2025. Risks associated with our operations in Australia and Canada include, but are not limited to, (i) different taxing regimes; (ii) changing political conditions at the federal, provincial or state level; (iii) changing international and U.S. monetary policies; and (iv) regional economic downturns.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regulatory regimes in these countries are substantially different than those in the U.S. and may be unfamiliar to U.S. investors. Violations of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laws could result in monetary and criminal penalties against us or our subsidiaries and could damage our reputation and, therefore, our ability to do business.</w:t>
      </w:r>
    </w:p>
    <w:p>
      <w:pPr>
        <w:spacing w:after="0" w:line="217"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extensive and costly environmental laws and regulations that may require us to take actions that will adversely affect our results of operations.</w:t>
      </w:r>
    </w:p>
    <w:p>
      <w:pPr>
        <w:spacing w:after="0" w:line="172" w:lineRule="exact"/>
        <w:rPr>
          <w:sz w:val="20"/>
          <w:szCs w:val="20"/>
          <w:color w:val="auto"/>
        </w:rPr>
      </w:pPr>
    </w:p>
    <w:p>
      <w:pPr>
        <w:jc w:val="both"/>
        <w:ind w:firstLine="461"/>
        <w:spacing w:after="0" w:line="248" w:lineRule="auto"/>
        <w:rPr>
          <w:sz w:val="20"/>
          <w:szCs w:val="20"/>
          <w:color w:val="auto"/>
        </w:rPr>
      </w:pPr>
      <w:r>
        <w:rPr>
          <w:rFonts w:ascii="Times New Roman" w:cs="Times New Roman" w:eastAsia="Times New Roman" w:hAnsi="Times New Roman"/>
          <w:sz w:val="17"/>
          <w:szCs w:val="17"/>
          <w:color w:val="auto"/>
        </w:rPr>
        <w:t>All of our operations are significantly affected by stringent and complex foreign, federal, provincial, state and local laws and regulations governing the discharge of substances into the environment or otherwise relating to environmental protection. We could be exposed to liabilities for cleanup costs, natural resource damages and other damages as a result of our conduct that was lawful at the time it occurred or the conduct of, or conditions caused by, prior operators or other third-parties. There is inherent risk of environmental costs and liabilities in our business as a result of historical industry operations and waste disposal practices, which include air emissions and waste water discharges as well as our handling of petroleum hydrocarbons related to our operations. Certain environmental statutes impose joint and several strict liability for these costs. For example, an accidental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7"/>
          <w:szCs w:val="17"/>
          <w:color w:val="auto"/>
        </w:rPr>
        <w:t>release by us in the performance of services at one of our or our customers’ sites could subject us to substantial liabilities arising from environmental cleanup, restoration costs and natural resource damages, claims made by neighboring landowners and other third parties for personal injury and property damage and fines or penalties for related violations of environmental laws or regulations. We may not be able to recover some or any of these costs from insurance.</w:t>
      </w:r>
    </w:p>
    <w:p>
      <w:pPr>
        <w:spacing w:after="0" w:line="184" w:lineRule="exact"/>
        <w:rPr>
          <w:sz w:val="20"/>
          <w:szCs w:val="20"/>
          <w:color w:val="auto"/>
        </w:rPr>
      </w:pPr>
    </w:p>
    <w:p>
      <w:pPr>
        <w:jc w:val="both"/>
        <w:ind w:firstLine="461"/>
        <w:spacing w:after="0" w:line="248" w:lineRule="auto"/>
        <w:rPr>
          <w:sz w:val="20"/>
          <w:szCs w:val="20"/>
          <w:color w:val="auto"/>
        </w:rPr>
      </w:pPr>
      <w:r>
        <w:rPr>
          <w:rFonts w:ascii="Times New Roman" w:cs="Times New Roman" w:eastAsia="Times New Roman" w:hAnsi="Times New Roman"/>
          <w:sz w:val="17"/>
          <w:szCs w:val="17"/>
          <w:color w:val="auto"/>
        </w:rPr>
        <w:t>Environmental laws and regulations are subject to change in the future, possibly resulting in more stringent requirements. The implementation of new laws and regulations could result in materially increased costs, stricter standards and enforcement, increased reporting obligations, larger fines and liability and increased capital expenditures and operating costs, particularly for our customers, and could have an adverse effect on our business or demand for our services. See Item 1. “Business - Government Regulation” of this annual report for a more detailed description of our risks associated with environmental laws and regulations. It should also be noted that scientists have concluded that increasing concentrations of GHG in the earth’s atmosphere may produce climate changes that have significant physical effects, such as increased frequency and severity of storms, droughts, and floods and other climatic events.</w:t>
      </w:r>
    </w:p>
    <w:p>
      <w:pPr>
        <w:spacing w:after="0" w:line="197"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color w:val="auto"/>
        </w:rPr>
        <w:t>Any failure by us to comply with applicable environmental laws and regulations may result in governmental authorities taking actions against our business that could adversely impact our business and results of operations, including the issuance of administrative, civil and criminal penalties; denial or revocation of permits or other authorizations; reduction or cessation of operations; and performance of site investigatory, remedial or other corrective actions.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certain regulatory and financial risks related to climate change and other ESG-related matters.</w:t>
      </w:r>
    </w:p>
    <w:p>
      <w:pPr>
        <w:spacing w:after="0" w:line="246" w:lineRule="exact"/>
        <w:rPr>
          <w:sz w:val="20"/>
          <w:szCs w:val="20"/>
          <w:color w:val="auto"/>
        </w:rPr>
      </w:pPr>
    </w:p>
    <w:p>
      <w:pPr>
        <w:jc w:val="both"/>
        <w:ind w:firstLine="461"/>
        <w:spacing w:after="0" w:line="251" w:lineRule="auto"/>
        <w:rPr>
          <w:sz w:val="20"/>
          <w:szCs w:val="20"/>
          <w:color w:val="auto"/>
        </w:rPr>
      </w:pPr>
      <w:r>
        <w:rPr>
          <w:rFonts w:ascii="Times New Roman" w:cs="Times New Roman" w:eastAsia="Times New Roman" w:hAnsi="Times New Roman"/>
          <w:sz w:val="17"/>
          <w:szCs w:val="17"/>
          <w:color w:val="auto"/>
        </w:rPr>
        <w:t>Climate change and other ESG-related matters are receiving increasing attention from the media, scientists and legislators alike, which has resulted in legislative, regulatory and other initiatives, including international agreements, to reduce GHG emissions, such as carbon dioxide and methane, and proposed regulations to increase climate change reporting obligations. Significant focus is being made on companies that are active producers of fossil fuels, or companies which serve such producers.</w:t>
      </w:r>
    </w:p>
    <w:p>
      <w:pPr>
        <w:spacing w:after="0" w:line="194" w:lineRule="exact"/>
        <w:rPr>
          <w:sz w:val="20"/>
          <w:szCs w:val="20"/>
          <w:color w:val="auto"/>
        </w:rPr>
      </w:pPr>
    </w:p>
    <w:p>
      <w:pPr>
        <w:jc w:val="both"/>
        <w:ind w:firstLine="461"/>
        <w:spacing w:after="0" w:line="244" w:lineRule="auto"/>
        <w:rPr>
          <w:sz w:val="20"/>
          <w:szCs w:val="20"/>
          <w:color w:val="auto"/>
        </w:rPr>
      </w:pPr>
      <w:r>
        <w:rPr>
          <w:rFonts w:ascii="Times New Roman" w:cs="Times New Roman" w:eastAsia="Times New Roman" w:hAnsi="Times New Roman"/>
          <w:sz w:val="17"/>
          <w:szCs w:val="17"/>
          <w:color w:val="auto"/>
        </w:rPr>
        <w:t>Efforts have been made and continue to be made in the international community toward the adoption of international treaties or protocols that would address global climate change issues and impose reductions of hydrocarbon-based fuels. There are a number of legislative and regulatory proposals to address GHG emissions, including increased fuel efficiency standards, carbon taxes or cap and trade systems, restrictive permitting and incentives for renewable energy, which are in various phases of discussion or implementation. Moreover, such legislation, regulations and proposals are subject to frequent change by regulatory authorities. The outcome of Australian, Canadian and U.S. federal, regional, provincial and state actions to address global climate change could result in a variety of regulatory programs including potential new regulations, additional charges to fund energy efficiency activities or other regulatory actions. These actions could both</w:t>
      </w:r>
    </w:p>
    <w:p>
      <w:pPr>
        <w:spacing w:after="0" w:line="4" w:lineRule="exact"/>
        <w:rPr>
          <w:sz w:val="20"/>
          <w:szCs w:val="20"/>
          <w:color w:val="auto"/>
        </w:rPr>
      </w:pPr>
    </w:p>
    <w:p>
      <w:pPr>
        <w:ind w:firstLine="2"/>
        <w:spacing w:after="0" w:line="262" w:lineRule="auto"/>
        <w:tabs>
          <w:tab w:leader="none" w:pos="21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impact us due to increased costs associated with our operations and (ii) indirectly impact us due to increased costs of and/or reduced demand for our customers' operations and resulting reduced demand for our services.</w:t>
      </w:r>
    </w:p>
    <w:p>
      <w:pPr>
        <w:spacing w:after="0" w:line="183"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Any adoption of these or similar proposals by Australian, Canadian or U.S. federal, regional, provincial, state or local governments mandating a substantial reduction in GHG emissions could have far-reaching and significant impacts on the energy industry, including negatively impacting the price of oil relative to other energy sources, reducing demand for hydrocarbons and other minerals or limiting drilling or mining in the areas in which we operate. 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or demand for our services.</w:t>
      </w:r>
    </w:p>
    <w:p>
      <w:pPr>
        <w:spacing w:after="0" w:line="199"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and assess acquisitions. Furthermore, many members of the investment community, as well as political advocacy groups, are increasing their focus on ESG practices and disclosures by public companies, and concerns over climate change have resulted in, and are expected to continue to result in, the adoption of regulatory requirements relating to climate-related disclosures. As a result, we may continue to face increasing pressure regarding and focus on our ESG disclosures and practices, and mandatory reporting obligations could increase our compliance burden and costs. We update our ESG Report annually on our website, which outlines our progress and ongoing efforts to advance our ESG initiatives. Our disclosures on these matters rely on management’s expectations as of the date the statements are first made, as well as standards for measuring progress that are still in development, and may change or fail to be realized. These expectations and standards may continue to evolve. If our ESG disclosures and practices do not meet regulatory, investor or other stakeholder expectations and standards, which continue to evolve, it could have a material adverse effect on our business or demand for our services. At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7" w:name="page38"/>
    <w:bookmarkEnd w:id="37"/>
    <w:p>
      <w:pPr>
        <w:jc w:val="both"/>
        <w:spacing w:after="0" w:line="262" w:lineRule="auto"/>
        <w:rPr>
          <w:sz w:val="20"/>
          <w:szCs w:val="20"/>
          <w:color w:val="auto"/>
        </w:rPr>
      </w:pPr>
      <w:r>
        <w:rPr>
          <w:rFonts w:ascii="Times New Roman" w:cs="Times New Roman" w:eastAsia="Times New Roman" w:hAnsi="Times New Roman"/>
          <w:sz w:val="17"/>
          <w:szCs w:val="17"/>
          <w:color w:val="auto"/>
        </w:rPr>
        <w:t>the same time, some stakeholders and regulators have increasingly expressed or pursued opposing views, legislation, and investment expectations with respect to ESG, including criticizing companies for their ESG disclosures and practices and enacting or proposing “anti-ESG” legislation or policies. By updating our ESG Report annually, our business may also face increased scrutiny related to ESG activities and be unable to satisfy all stakeholders. Additionally, members of the investment community may screen our ESG disclosures and performance before investing in our common shares.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Item 1. “Business - Government Regulation” of this annual report for a more detailed description of our climate-change related risks.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Common Shares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our common shares may be volatile.</w:t>
      </w:r>
    </w:p>
    <w:p>
      <w:pPr>
        <w:spacing w:after="0" w:line="246"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color w:val="auto"/>
        </w:rPr>
        <w:t>The market price of our common shares has historically experienced and may continue to experience volatility. For example, during 2025, the market price of our common shares ranged from a low of $18.01 per share to a high of $27.55 per share. The market price of our common shares may be influenced by many factors, some of which are beyond our control, including those described above and the following:</w:t>
      </w:r>
    </w:p>
    <w:p>
      <w:pPr>
        <w:spacing w:after="0" w:line="184" w:lineRule="exact"/>
        <w:rPr>
          <w:sz w:val="20"/>
          <w:szCs w:val="20"/>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financial estimates by analysts and our inability to meet those financial estimates;</w:t>
      </w:r>
    </w:p>
    <w:p>
      <w:pPr>
        <w:spacing w:after="0" w:line="26"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strategic actions by us or our competitors;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announcements by us or our competitors of significant contracts, acquisitions, joint marketing relationships, joint ventures or capital commitments;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variations in our quarterly operating results and those of our competitors;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general economic and stock market conditions;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risks related to our business and our industry, including those discussed above;</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conditions or trends in our industry, markets or customers;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geopolitical events or terrorist acts, including cybersecurity threats;</w:t>
      </w:r>
    </w:p>
    <w:p>
      <w:pPr>
        <w:spacing w:after="0" w:line="8"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shares;</w:t>
      </w:r>
    </w:p>
    <w:p>
      <w:pPr>
        <w:spacing w:after="0" w:line="8"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majority of our common shares being held by a few shareholders;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policy on share repurchases and dividend payments;</w:t>
      </w:r>
    </w:p>
    <w:p>
      <w:pPr>
        <w:spacing w:after="0" w:line="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future sales of our common shares or other securities by us, members of our management team or our existing shareholders; and</w:t>
      </w:r>
    </w:p>
    <w:p>
      <w:pPr>
        <w:spacing w:after="0" w:line="9" w:lineRule="exact"/>
        <w:rPr>
          <w:rFonts w:ascii="Arial" w:cs="Arial" w:eastAsia="Arial" w:hAnsi="Arial"/>
          <w:sz w:val="17"/>
          <w:szCs w:val="17"/>
          <w:color w:val="auto"/>
        </w:rPr>
      </w:pPr>
    </w:p>
    <w:p>
      <w:pPr>
        <w:ind w:left="620" w:hanging="310"/>
        <w:spacing w:after="0"/>
        <w:tabs>
          <w:tab w:leader="none" w:pos="62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investor perceptions of the investment opportunity associated with our industry or common shares relative to other investment alternatives.</w:t>
      </w:r>
    </w:p>
    <w:p>
      <w:pPr>
        <w:spacing w:after="0" w:line="221"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These factors may materially reduce the market price of our common shares, regardless of our operating performance. In addition, our average daily trading volume on the New York Stock Exchange has historically been low, which may result in greater price volatility.</w:t>
      </w:r>
    </w:p>
    <w:p>
      <w:pPr>
        <w:spacing w:after="0" w:line="178"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In addition, in recent years the stock market has experienced substantial price and volume fluctuations. This volatility has had a significant effect on the market prices of securities issued by many companies for reasons potentially unrelated to their operating performance. For example, our share price may experience substantial volatility due to uncertainty regarding commodity prices. These market fluctuations, regardless of the cause, may materially and adversely affect our share price, regardless of our operating results. Price volatility may cause the average price at which we repurchase our common shares (see Note 15 – Share Repurchase Programs and Dividends for a discussion of repurchases of our common shares) in a given period to exceed the share price at a given point in time. In addition, stock market volatility may impact our ability to access the capital markets in the future on acceptable terms or at all. Furthermore, the trading market for our common shares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share price or trading volume to decline.</w:t>
      </w:r>
    </w:p>
    <w:p>
      <w:pPr>
        <w:spacing w:after="0" w:line="199"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repurchases of our common shares or payment of dividends are each within the discretion of our Board of Directors, and there is no guarantee that we will repurchase common shares or pay any dividends in the future or at levels anticipated by our shareholders.</w:t>
      </w:r>
    </w:p>
    <w:p>
      <w:pPr>
        <w:spacing w:after="0" w:line="172"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amount and timing of all future repurchases of common shares pursuant to our share repurchase program, if any, or payments of dividends are each subject to the discretion of the Board of Directors (Board) and will depend upon business conditions, results of operations, financial condition and other factors. Our Board may, without advance notice, suspend or terminate our share repurchase program or discontinue the payment of dividends. For example, in April 2025, our Board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7"/>
          <w:szCs w:val="17"/>
          <w:color w:val="auto"/>
        </w:rPr>
        <w:t>suspended quarterly dividends on our common shares to prioritize returning capital to our shareholders through ongoing share repurchases. There can be no assurance that we will recommence dividend payments or repurchase our common shares in the future. The repurchase of shares under our share repurchase program could increase our leverage or diminish our cash reserves, which may impact our ability to finance future growth and to pursue possible future strategic growth projects. In addition, any elimination of, or downward revision in, our share repurchase program could have an adverse effect on the market price of our common shares. While the U.S. has imposed an excise tax on U.S. domestic corporations repurchasing stock, our share repurchase program is not subject to this tax. A similar 2% tax has been imposed in Canada, effective January 1, 2024, which applies to us and may impact the tax efficiency of our share repurchase program.</w:t>
      </w:r>
    </w:p>
    <w:p>
      <w:pPr>
        <w:jc w:val="both"/>
        <w:ind w:firstLine="461"/>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are governed by the corporate laws in British Columbia, Canada which in some cases have a different effect on shareholders than the corporate laws in Delaware, U.S.</w:t>
      </w:r>
    </w:p>
    <w:p>
      <w:pPr>
        <w:spacing w:after="0" w:line="191"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 xml:space="preserve">There are material differences between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(British Columbia) (BCBCA) as compared to the Delaware General Corporation Law (DGCL). Some of these material differences include the following: (i) for material corporate transactions (such as amalgamations, arrangements, the sale of all or substantially all of our undertaking, and other extraordinary corporate transactions), the BCBCA, subject to the provisions of our articles, generally requires two-thirds majority vote by shareholders, whereas DGCL generally only requires a majority vote of shareholders for similar material corporate transactions; and (ii) under the BCBCA, a holder of 5% or more of our common shares can requisition a general meeting of shareholders for the purpose of transacting any business that may be transacted at a general meeting, whereas the DGCL does not give this right. We cannot predict if investors will find our common shares less attractive because of these material differences. If some investors find our common shares less attractive as a result, there may be a less active trading market for our common shares and our share price may be more volatile.</w:t>
      </w:r>
    </w:p>
    <w:p>
      <w:pPr>
        <w:spacing w:after="0" w:line="199"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Provisions contained in our articles and applicable Canadian and British Columbia laws could discourage a take-over attempt, which may reduce or eliminate the likelihood of a change of control transaction and, therefore, the ability of our shareholders to sell their shares for a premium.</w:t>
      </w:r>
    </w:p>
    <w:p>
      <w:pPr>
        <w:spacing w:after="0" w:line="172"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 xml:space="preserve">Provisions contained in our articles provide for a classified Board (which will be phased out by the 2027 annual general meeting of shareholders), limitations on the removal of directors, limitations on shareholder proposals at meetings of shareholders and limitations on shareholder action by written consent, which could make it more difficult for a third-party to acquire control of us. Our articles, subject to the corporate law of British Columbia, also authorize our Board to issue series of preferred shares without shareholder approval. If our Board elects to issue preferred shares, it could increase the difficulty for a third-party to acquire us, which may reduce or eliminate our shareholders’ ability to sell their common shares at a premium. In addition, in Canada, we may become subject to applicable securities laws, including National Instrument 62-104 </w:t>
      </w:r>
      <w:r>
        <w:rPr>
          <w:rFonts w:ascii="Times New Roman" w:cs="Times New Roman" w:eastAsia="Times New Roman" w:hAnsi="Times New Roman"/>
          <w:sz w:val="17"/>
          <w:szCs w:val="17"/>
          <w:i w:val="1"/>
          <w:iCs w:val="1"/>
          <w:color w:val="auto"/>
        </w:rPr>
        <w:t>Take-Over Bids and Issuer Bids</w:t>
      </w:r>
      <w:r>
        <w:rPr>
          <w:rFonts w:ascii="Times New Roman" w:cs="Times New Roman" w:eastAsia="Times New Roman" w:hAnsi="Times New Roman"/>
          <w:sz w:val="17"/>
          <w:szCs w:val="17"/>
          <w:color w:val="auto"/>
        </w:rPr>
        <w:t xml:space="preserve"> of the Canadian Securities Administrators, which provide a heightened threshold for shareholder acceptance of third-party acquisition offers and could discourage take-over attempts that could result in a premium over the market price for our common shares.</w:t>
      </w:r>
    </w:p>
    <w:p>
      <w:pPr>
        <w:spacing w:after="0" w:line="201"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As a British Columbia company, we may be subject to additional Canadian laws and regulations. The application of additional Canadian laws and regulations could make it more difficult for third parties to acquire control of us. For example, such laws and regulations may, depending on the circumstances, result in regulatory reviews of and may require regulatory approval for any proposed take-over attempts.</w:t>
      </w:r>
    </w:p>
    <w:p>
      <w:pPr>
        <w:spacing w:after="0" w:line="19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Any of the foregoing could prevent or delay a change of control and may deprive or limit strategic opportunities for our shareholders to sell their common shares and/or affect the market price of our common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The enforcement of civil liabilities against Civeo may be more difficult.</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Civeo is a British Columbia company and a substantial portion of our assets are located outside the U.S. As a result, investors could experience more difficulty enforcing judgments obtained against us in U.S. courts than would be the case for U.S. judgments obtained against a U.S. company. In addition, some claims may be more difficult to bring against Civeo in Canadian courts than it would be to bring similar claims against a U.S. company in a U.S. court.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Structure</w:t>
      </w:r>
    </w:p>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various Australian, Canadian and other taxes.</w:t>
      </w:r>
    </w:p>
    <w:p>
      <w:pPr>
        <w:spacing w:after="0" w:line="24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Our effective tax rates (including our Australian and Canadian tax rate) are dependent on a variety of factors, many of which are beyond our ability to control, such as changes in the rate of economic growth in jurisdictions in which we operate,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7"/>
          <w:szCs w:val="17"/>
          <w:color w:val="auto"/>
        </w:rPr>
        <w:t>currency exchange rate fluctuations (especially between Australian and U.S. dollars and Canadian and U.S. dollars) and significant changes in trade, monetary or fiscal policies of Australia and Canada, including changes in interest rates, withholding taxes, tax treaties and federal and provincial tax rates generally. The impact of these factors, individually and in the aggregate, is difficult to predict, in part because the occurrence of any number of the events or circumstances described in such factors may be (and, in fact, often seem to be) interrelated, and the impact to us of the occurrence of any one of these events or circumstances could be compounded or, alternatively, reduced, offset or more than offset, by the occurrence of one or more of the other events or circumstances described in such factors.</w:t>
      </w:r>
    </w:p>
    <w:p>
      <w:pPr>
        <w:spacing w:after="0" w:line="196"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color w:val="auto"/>
        </w:rPr>
        <w:t xml:space="preserve">Generally, Canada’s tax rules under the </w:t>
      </w:r>
      <w:r>
        <w:rPr>
          <w:rFonts w:ascii="Times New Roman" w:cs="Times New Roman" w:eastAsia="Times New Roman" w:hAnsi="Times New Roman"/>
          <w:sz w:val="17"/>
          <w:szCs w:val="17"/>
          <w:i w:val="1"/>
          <w:iCs w:val="1"/>
          <w:color w:val="auto"/>
        </w:rPr>
        <w:t>Income Tax Act</w:t>
      </w:r>
      <w:r>
        <w:rPr>
          <w:rFonts w:ascii="Times New Roman" w:cs="Times New Roman" w:eastAsia="Times New Roman" w:hAnsi="Times New Roman"/>
          <w:sz w:val="17"/>
          <w:szCs w:val="17"/>
          <w:color w:val="auto"/>
        </w:rPr>
        <w:t xml:space="preserve"> (Canada) (the Canadian Tax Act) may allow for favorable tax treatment related to the repatriation of certain dividends from certain foreign affiliates. If it becomes necessary or desirable to repatriate earnings from our foreign subsidiaries, repatriating earnings could, in certain circumstances, give rise to the imposition of potentially significant withholding taxes by the jurisdictions in which such amounts were earned, without our receiving the benefit of any offsetting tax credits in Canada, which could adversely impact our effective tax rate and cash flows. These tax rules are complicated and could change over time. Any such changes could have a material impact on our overall tax rate.</w:t>
      </w:r>
    </w:p>
    <w:p>
      <w:pPr>
        <w:spacing w:after="0" w:line="20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Canada has also introduced tax rules governing “foreign affiliate dumping” in the Canadian Tax Act that can have adverse tax consequences in respect of non-Canadian business activities and investments for Canadian corporations that are controlled by a non-Canadian person or group of non-Canadian persons. These rules would have a negative impact on us to the extent that we became controlled by a non-Canadian person or group of non-Canadian persons.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We remain subject to changes in tax law (in various jurisdictions) and other factors that could impact our effective tax rate.</w:t>
      </w:r>
    </w:p>
    <w:p>
      <w:pPr>
        <w:spacing w:after="0" w:line="246"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The tax laws of Australia, Canada and the U.S. could change in the future, and such changes could cause a material change in our effective corporate tax rate. As a result, our realized effective tax rate may be materially different from our current expectation. Our provision for income taxes will be based on certain estimates and assumptions made by management in consultation with our tax and other advisors. Our consolidated income tax rate will be affected by the amount of net income earned in Australia, Canada and our other operating jurisdictions, the availability of benefits under tax treaties, and the rates of taxes payable in respect of that income. We will enter into many transactions and arrangements in the ordinary course of business in respect of which the tax treatment is not entirely certain. We will therefore make estimates and judgments based on our knowledge and understanding of applicable tax laws and tax treaties, and the application of those tax laws and tax treaties to our business, in determining our consolidated tax provision. The final outcome of any audits by taxation authorities may differ from the estimates and assumptions we may use in determining our consolidated tax provisions and accruals. This could result in a material adverse effect on our consolidated income tax provision, financial condition and the net income for the period in which such determinations are made.</w:t>
      </w:r>
    </w:p>
    <w:p>
      <w:pPr>
        <w:spacing w:after="0" w:line="205"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The U.S. Congress, government agencies in non-U.S. jurisdictions where we and our affiliates do business and the Organization for Economic Co-operation and Development (the “OECD”) continue to focus on issues related to the taxation of multinational corporations. For example, the OECD's two-pillar plan to reform international taxation remains a key initiative, with proposals to ensure a fairer distribution of profits among countries and to impose a floor on tax competition through the introduction of a global minimum tax. The tax laws of countries in which we and our affiliates do business have already begun to change based on this two-pillar plan and could change further on a prospective or retroactive basis (or both), and any such changes could materially adversely affect us.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Future potential changes to U.S. tax laws could result in Civeo being treated as a U.S. corporation for U.S. federal income tax purposes.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Although we have historically been regarded as a foreign corporation for U.S. federal income tax purposes, changes to Section 7874 of the Internal Revenue Code or the U.S. Treasury regulations promulgated thereunder, or official interpretations thereof, could adversely affect Civeo’s status as a foreign corporation for U.S. federal income tax purposes. For example, members of Congress from time to time have proposed changes to the Internal Revenue Code, and the U.S. Treasury has taken and may continue to take regulatory action, in connection with inversion transactions. The timing and substance of any such change in law or regulatory action is uncertain. Any such change of law or regulatory action could adversely impact the treatment of Civeo as a foreign corporation for U.S. federal income tax purposes and could adversely impact its tax position and financial position and results in a material manner. The precise scope and application of any legislative or regulatory proposals will not be clear until they are actually issued, and, accordingly, until such legislation or regulations are issued and fully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0" w:name="page41"/>
    <w:bookmarkEnd w:id="40"/>
    <w:p>
      <w:pPr>
        <w:jc w:val="both"/>
        <w:spacing w:after="0" w:line="284" w:lineRule="auto"/>
        <w:rPr>
          <w:sz w:val="20"/>
          <w:szCs w:val="20"/>
          <w:color w:val="auto"/>
        </w:rPr>
      </w:pPr>
      <w:r>
        <w:rPr>
          <w:rFonts w:ascii="Times New Roman" w:cs="Times New Roman" w:eastAsia="Times New Roman" w:hAnsi="Times New Roman"/>
          <w:sz w:val="17"/>
          <w:szCs w:val="17"/>
          <w:color w:val="auto"/>
        </w:rPr>
        <w:t>understood, we cannot be certain as to their potential impact. If Civeo were to be treated as a U.S. corporation for U.S. federal income tax purposes, it could be subject to substantially greater U.S. federal income tax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4"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recognize the importance of developing, implementing and maintaining robust cybersecurity measures to safeguard our information systems and protect the confidentiality, integrity and availability of our data. Civeo has implemented and maintains mechanisms, controls, technologies, systems and other processes designed to prevent or mitigate data loss, theft, misuse or other security incidents or vulnerabilities affecting Civeo’s systems and the data we collect, process, store and transmit as part of our businesses. Civeo leverages controls modeled in the Center for Internet Security (CIS) controls framework and the National Institute of Standards and Technology Cybersecurity Framework (NIST CSF) to evaluate our cybersecurity capabilities and to inform the implementation and configuration of certain systems, processes, and technologies. Our processes for assessing, identifying, and managing material risks from cybersecurity threats have been integrated into our overall risk management system and processes. Cybersecurity events are collected, evaluated and, when appropriate, escalated to the Chief Information Security Officer (CISO) for impact analysis utilizing our cybersecurity risk management policy.</w:t>
      </w:r>
    </w:p>
    <w:p>
      <w:pPr>
        <w:spacing w:after="0" w:line="201"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cybersecurity policies and procedures encompass data privacy, incident response, information security and risks from our use of third-party vendors. In order to help develop these policies and procedures, we monitor applicable privacy and cybersecurity laws, regulations and guidance in the regions where we do business, as well as proposed privacy and cybersecurity laws, regulations, guidance and emerging risks.</w:t>
      </w:r>
    </w:p>
    <w:p>
      <w:pPr>
        <w:spacing w:after="0" w:line="193"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Cybersecurity risks are monitored and evaluated by management through an internal compliance program with oversight by internal audit. We engage various third-party cybersecurity partners, such as auditors, assessors and consultants to perform penetration testing and audits on our cybersecurity profile. With the assistance of a third-party cybersecurity consultant, we also conducted three cyber breach simulation exercises in the last five quarters, focused on incident management and communication processes. These third-party partnerships enable us to leverage specialized knowledge and insights, and are meant to ensure our cybersecurity strategies and processes remain appropriately tailored to the company’s risk profile. We also conduct due diligence on our key technology vendors and other contractors and suppliers. In order to promote a company-wide culture of cybersecurity risk management, management has also implemented programs to both test and train our employees on cybersecurity fundamentals, including both annual and ongoing information security awareness training.</w:t>
      </w:r>
    </w:p>
    <w:p>
      <w:pPr>
        <w:spacing w:after="0" w:line="205"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Risks from cybersecurity threats, including as a result of any previous cybersecurity incidents, that have materially affected us, including our business strategy, results of operations, or financial condition, but we face certain ongoing risks from cybersecurity threats that, if realized, are reasonably likely to materially affect us. See Part I, Item 1A, “Risk Factors,” under the heading “Risks Related to Our Operations - Our business could be negatively impacted by security threats, including cybersecurity threats and other disruptions” for more information regarding the risks we face.</w:t>
      </w:r>
    </w:p>
    <w:p>
      <w:pPr>
        <w:spacing w:after="0" w:line="19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As discussed in Part I, Item 1A, “Risk Factors,” under the heading “Financial/Accounting Risks – We may not have adequate insurance for potential liabilities and insurance may not cover certain liabilities,” we maintain cyber risk insurance to mitigate our exposure to these threats.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44"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While the Board maintains responsibility for risk oversight it has delegated responsibility for evaluating technology and cybersecurity risks to the Audit Committee. The Board reviews the Company's cybersecurity risk posture, strategy and execution on at least an annual basis while the Audit Committee receives cybersecurity updates quarterly.</w:t>
      </w:r>
    </w:p>
    <w:p>
      <w:pPr>
        <w:spacing w:after="0" w:line="19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CISO and executive management play a pivotal role in informing the Audit Committee on cybersecurity risks. Executive management, including the CISO, meets regularly with the Audit Committee to discuss cybersecurity risks, review</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quarterly cyber metrics and oversee progress against our annual action plans. These briefings may encompass a broad range of topics, including:</w:t>
      </w:r>
    </w:p>
    <w:p>
      <w:pPr>
        <w:spacing w:after="0" w:line="240" w:lineRule="exact"/>
        <w:rPr>
          <w:sz w:val="20"/>
          <w:szCs w:val="20"/>
          <w:color w:val="auto"/>
        </w:rPr>
      </w:pPr>
    </w:p>
    <w:p>
      <w:pPr>
        <w:ind w:left="620" w:hanging="46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cybersecurity landscape and emerging threats;</w:t>
      </w:r>
    </w:p>
    <w:p>
      <w:pPr>
        <w:spacing w:after="0" w:line="26" w:lineRule="exact"/>
        <w:rPr>
          <w:rFonts w:ascii="Times New Roman" w:cs="Times New Roman" w:eastAsia="Times New Roman" w:hAnsi="Times New Roman"/>
          <w:sz w:val="17"/>
          <w:szCs w:val="17"/>
          <w:color w:val="auto"/>
        </w:rPr>
      </w:pPr>
    </w:p>
    <w:p>
      <w:pPr>
        <w:ind w:left="620" w:hanging="46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Status of ongoing cybersecurity initiatives and strategies;</w:t>
      </w:r>
    </w:p>
    <w:p>
      <w:pPr>
        <w:spacing w:after="0" w:line="9" w:lineRule="exact"/>
        <w:rPr>
          <w:rFonts w:ascii="Times New Roman" w:cs="Times New Roman" w:eastAsia="Times New Roman" w:hAnsi="Times New Roman"/>
          <w:sz w:val="17"/>
          <w:szCs w:val="17"/>
          <w:color w:val="auto"/>
        </w:rPr>
      </w:pPr>
    </w:p>
    <w:p>
      <w:pPr>
        <w:ind w:left="620" w:hanging="46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Incident reports and learnings from any cybersecurity events; and</w:t>
      </w:r>
    </w:p>
    <w:p>
      <w:pPr>
        <w:spacing w:after="0" w:line="9" w:lineRule="exact"/>
        <w:rPr>
          <w:rFonts w:ascii="Times New Roman" w:cs="Times New Roman" w:eastAsia="Times New Roman" w:hAnsi="Times New Roman"/>
          <w:sz w:val="17"/>
          <w:szCs w:val="17"/>
          <w:color w:val="auto"/>
        </w:rPr>
      </w:pPr>
    </w:p>
    <w:p>
      <w:pPr>
        <w:ind w:left="620" w:hanging="464"/>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regulatory requirements and industry standards.</w:t>
      </w:r>
    </w:p>
    <w:p>
      <w:pPr>
        <w:spacing w:after="0" w:line="22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In addition to our scheduled meetings, the Audit Committee and executive management maintain an ongoing dialogue regarding emerging or potential cybersecurity risks, and the CISO regularly updates executive management on cybersecurity risks and incidents.</w:t>
      </w:r>
    </w:p>
    <w:p>
      <w:pPr>
        <w:spacing w:after="0" w:line="178"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Primary responsibility for assessing, monitoring and managing our cybersecurity risks rests with the CISO who has over 18 years of experience in the field of cybersecurity, including at Civeo and previously for a Fortune 500 company. The CISO implements and oversees processes for the monitoring of our information systems, which includes the deployment of advanced security measures and regular system audits to identify potential vulnerabilities. The CISO also oversees our cybersecurity governance programs, assists with testing our compliance with applicable standards, leads our efforts to remediate known risks and leads our employee training program.</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Company deploys a Security Operations Center team who monitor and escalate cybersecurity events to the CISO. In the event of a cybersecurity incident, the Company maintains an incident response plan, which is intended to facilitate response, escalation, and mitigate the impact of the incident and includes long-term strategies for remediation and prevention of future incidents. Significant cybersecurity matters and certain strategic risk management decisions are escalated to the Audit Committee and the Board.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2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7"/>
          <w:szCs w:val="17"/>
          <w:color w:val="auto"/>
        </w:rPr>
        <w:t xml:space="preserve">The following presents information about our principal properties and facilities as of December 31, 2025. Except as indicated, we own all of the properties or facilities listed below. Each of the properties is encumbered by our secured credit facilities. See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Management’s Discussion and Analysis of Financial Condition and Results of Operations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Item 7 and Note 10 – Debt to the notes to consolidated financial statements included in Item 8 of this annual report for additional information concerning our credit facilities. For a discussion about how each of our business segments utilizes its respective properties, see Item 1, “Business” of this annual report.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40" w:type="dxa"/>
            <w:vAlign w:val="bottom"/>
          </w:tcPr>
          <w:p>
            <w:pPr>
              <w:ind w:left="1180"/>
              <w:spacing w:after="0"/>
              <w:rPr>
                <w:sz w:val="20"/>
                <w:szCs w:val="20"/>
                <w:color w:val="auto"/>
              </w:rPr>
            </w:pPr>
            <w:r>
              <w:rPr>
                <w:rFonts w:ascii="Times New Roman" w:cs="Times New Roman" w:eastAsia="Times New Roman" w:hAnsi="Times New Roman"/>
                <w:sz w:val="17"/>
                <w:szCs w:val="17"/>
                <w:b w:val="1"/>
                <w:bCs w:val="1"/>
                <w:color w:val="auto"/>
              </w:rPr>
              <w:t>Approximate</w:t>
            </w: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40" w:type="dxa"/>
            <w:vAlign w:val="bottom"/>
            <w:vMerge w:val="restart"/>
          </w:tcPr>
          <w:p>
            <w:pPr>
              <w:ind w:left="182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440" w:type="dxa"/>
            <w:vAlign w:val="bottom"/>
          </w:tcPr>
          <w:p>
            <w:pPr>
              <w:jc w:val="center"/>
              <w:ind w:left="835"/>
              <w:spacing w:after="0" w:line="167" w:lineRule="exact"/>
              <w:rPr>
                <w:sz w:val="20"/>
                <w:szCs w:val="20"/>
                <w:color w:val="auto"/>
              </w:rPr>
            </w:pPr>
            <w:r>
              <w:rPr>
                <w:rFonts w:ascii="Times New Roman" w:cs="Times New Roman" w:eastAsia="Times New Roman" w:hAnsi="Times New Roman"/>
                <w:sz w:val="17"/>
                <w:szCs w:val="17"/>
                <w:b w:val="1"/>
                <w:bCs w:val="1"/>
                <w:color w:val="auto"/>
                <w:w w:val="99"/>
              </w:rPr>
              <w:t>Square</w:t>
            </w:r>
          </w:p>
        </w:tc>
        <w:tc>
          <w:tcPr>
            <w:tcW w:w="3840" w:type="dxa"/>
            <w:vAlign w:val="bottom"/>
            <w:vMerge w:val="restart"/>
          </w:tcPr>
          <w:p>
            <w:pPr>
              <w:ind w:left="15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vMerge w:val="continue"/>
          </w:tcPr>
          <w:p>
            <w:pPr>
              <w:spacing w:after="0"/>
              <w:rPr>
                <w:sz w:val="20"/>
                <w:szCs w:val="20"/>
                <w:color w:val="auto"/>
              </w:rPr>
            </w:pP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b w:val="1"/>
                <w:bCs w:val="1"/>
                <w:color w:val="auto"/>
              </w:rPr>
              <w:t>Footage/Acreage</w:t>
            </w:r>
          </w:p>
        </w:tc>
        <w:tc>
          <w:tcPr>
            <w:tcW w:w="3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4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Australia:</w:t>
            </w:r>
          </w:p>
        </w:tc>
        <w:tc>
          <w:tcPr>
            <w:tcW w:w="244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20" w:type="dxa"/>
            <w:vAlign w:val="bottom"/>
            <w:shd w:val="clear" w:color="auto" w:fill="CCEEFF"/>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Coppabella, Queensland, Australia</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192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Coppabella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Narrabri, New South Wales, Australia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82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Narrabri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Boggabri, New South Wales, Australia</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52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Boggabri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Dysart, Queensland, Australia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50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Dysart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Middlemount, Queensland, Australia</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37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Middlemount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Nebo, Queensland, Australia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26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Nebo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Rosewood, Queensland, Australia</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18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Rosewood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Moranbah, Queensland, Australia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17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Moranbah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Waratah, Queensland, Australia</w:t>
            </w:r>
          </w:p>
        </w:tc>
        <w:tc>
          <w:tcPr>
            <w:tcW w:w="2440" w:type="dxa"/>
            <w:vAlign w:val="bottom"/>
          </w:tcPr>
          <w:p>
            <w:pPr>
              <w:jc w:val="center"/>
              <w:ind w:left="835"/>
              <w:spacing w:after="0"/>
              <w:rPr>
                <w:sz w:val="20"/>
                <w:szCs w:val="20"/>
                <w:color w:val="auto"/>
              </w:rPr>
            </w:pPr>
            <w:r>
              <w:rPr>
                <w:rFonts w:ascii="Times New Roman" w:cs="Times New Roman" w:eastAsia="Times New Roman" w:hAnsi="Times New Roman"/>
                <w:sz w:val="17"/>
                <w:szCs w:val="17"/>
                <w:color w:val="auto"/>
                <w:w w:val="99"/>
              </w:rPr>
              <w:t>11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Waratah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Karratha, Western Australia, Australia</w:t>
            </w:r>
          </w:p>
        </w:tc>
        <w:tc>
          <w:tcPr>
            <w:tcW w:w="2440" w:type="dxa"/>
            <w:vAlign w:val="bottom"/>
            <w:shd w:val="clear" w:color="auto" w:fill="CCEEFF"/>
          </w:tcPr>
          <w:p>
            <w:pPr>
              <w:jc w:val="center"/>
              <w:ind w:left="835"/>
              <w:spacing w:after="0"/>
              <w:rPr>
                <w:sz w:val="20"/>
                <w:szCs w:val="20"/>
                <w:color w:val="auto"/>
              </w:rPr>
            </w:pPr>
            <w:r>
              <w:rPr>
                <w:rFonts w:ascii="Times New Roman" w:cs="Times New Roman" w:eastAsia="Times New Roman" w:hAnsi="Times New Roman"/>
                <w:sz w:val="17"/>
                <w:szCs w:val="17"/>
                <w:color w:val="auto"/>
                <w:w w:val="99"/>
              </w:rPr>
              <w:t>11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Karratha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Acacia, Queensland, Australia</w:t>
            </w:r>
          </w:p>
        </w:tc>
        <w:tc>
          <w:tcPr>
            <w:tcW w:w="2440" w:type="dxa"/>
            <w:vAlign w:val="bottom"/>
          </w:tcPr>
          <w:p>
            <w:pPr>
              <w:jc w:val="center"/>
              <w:ind w:left="835"/>
              <w:spacing w:after="0"/>
              <w:rPr>
                <w:sz w:val="20"/>
                <w:szCs w:val="20"/>
                <w:color w:val="auto"/>
              </w:rPr>
            </w:pPr>
            <w:r>
              <w:rPr>
                <w:rFonts w:ascii="Times New Roman" w:cs="Times New Roman" w:eastAsia="Times New Roman" w:hAnsi="Times New Roman"/>
                <w:sz w:val="17"/>
                <w:szCs w:val="17"/>
                <w:color w:val="auto"/>
              </w:rPr>
              <w:t>3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Acacia Village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Vitrinite, Queensland, Australia</w:t>
            </w:r>
          </w:p>
        </w:tc>
        <w:tc>
          <w:tcPr>
            <w:tcW w:w="2440" w:type="dxa"/>
            <w:vAlign w:val="bottom"/>
            <w:shd w:val="clear" w:color="auto" w:fill="CCEEFF"/>
          </w:tcPr>
          <w:p>
            <w:pPr>
              <w:jc w:val="center"/>
              <w:ind w:left="835"/>
              <w:spacing w:after="0"/>
              <w:rPr>
                <w:sz w:val="20"/>
                <w:szCs w:val="20"/>
                <w:color w:val="auto"/>
              </w:rPr>
            </w:pPr>
            <w:r>
              <w:rPr>
                <w:rFonts w:ascii="Times New Roman" w:cs="Times New Roman" w:eastAsia="Times New Roman" w:hAnsi="Times New Roman"/>
                <w:sz w:val="17"/>
                <w:szCs w:val="17"/>
                <w:color w:val="auto"/>
              </w:rPr>
              <w:t>3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Vitrinite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Perth, Western Australia, Australia (lease)</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13,500 sq. feet</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Sydney, New South Wales, Australia (lease)</w:t>
            </w:r>
          </w:p>
        </w:tc>
        <w:tc>
          <w:tcPr>
            <w:tcW w:w="2440" w:type="dxa"/>
            <w:vAlign w:val="bottom"/>
            <w:shd w:val="clear" w:color="auto" w:fill="CCEEFF"/>
          </w:tcPr>
          <w:p>
            <w:pPr>
              <w:jc w:val="center"/>
              <w:ind w:left="835"/>
              <w:spacing w:after="0"/>
              <w:rPr>
                <w:sz w:val="20"/>
                <w:szCs w:val="20"/>
                <w:color w:val="auto"/>
              </w:rPr>
            </w:pPr>
            <w:r>
              <w:rPr>
                <w:rFonts w:ascii="Times New Roman" w:cs="Times New Roman" w:eastAsia="Times New Roman" w:hAnsi="Times New Roman"/>
                <w:sz w:val="17"/>
                <w:szCs w:val="17"/>
                <w:color w:val="auto"/>
                <w:w w:val="99"/>
              </w:rPr>
              <w:t>11,437 sq. feet</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Brisbane, Queensland, Australia (lease)</w:t>
            </w:r>
          </w:p>
        </w:tc>
        <w:tc>
          <w:tcPr>
            <w:tcW w:w="2440" w:type="dxa"/>
            <w:vAlign w:val="bottom"/>
          </w:tcPr>
          <w:p>
            <w:pPr>
              <w:jc w:val="center"/>
              <w:ind w:left="835"/>
              <w:spacing w:after="0"/>
              <w:rPr>
                <w:sz w:val="20"/>
                <w:szCs w:val="20"/>
                <w:color w:val="auto"/>
              </w:rPr>
            </w:pPr>
            <w:r>
              <w:rPr>
                <w:rFonts w:ascii="Times New Roman" w:cs="Times New Roman" w:eastAsia="Times New Roman" w:hAnsi="Times New Roman"/>
                <w:sz w:val="17"/>
                <w:szCs w:val="17"/>
                <w:color w:val="auto"/>
              </w:rPr>
              <w:t>5,543 sq. feet</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179"/>
        </w:trPr>
        <w:tc>
          <w:tcPr>
            <w:tcW w:w="120" w:type="dxa"/>
            <w:vAlign w:val="bottom"/>
            <w:shd w:val="clear" w:color="auto" w:fill="CCEEFF"/>
          </w:tcPr>
          <w:p>
            <w:pPr>
              <w:spacing w:after="0"/>
              <w:rPr>
                <w:sz w:val="15"/>
                <w:szCs w:val="15"/>
                <w:color w:val="auto"/>
              </w:rPr>
            </w:pPr>
          </w:p>
        </w:tc>
        <w:tc>
          <w:tcPr>
            <w:tcW w:w="4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Canada:</w:t>
            </w:r>
          </w:p>
        </w:tc>
        <w:tc>
          <w:tcPr>
            <w:tcW w:w="244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20" w:type="dxa"/>
            <w:vAlign w:val="bottom"/>
            <w:shd w:val="clear" w:color="auto" w:fill="CCEEFF"/>
          </w:tcPr>
          <w:p>
            <w:pPr>
              <w:spacing w:after="0"/>
              <w:rPr>
                <w:sz w:val="3"/>
                <w:szCs w:val="3"/>
                <w:color w:val="auto"/>
              </w:rPr>
            </w:pPr>
          </w:p>
        </w:tc>
        <w:tc>
          <w:tcPr>
            <w:tcW w:w="360" w:type="dxa"/>
            <w:vAlign w:val="bottom"/>
            <w:shd w:val="clear" w:color="auto" w:fill="000000"/>
          </w:tcPr>
          <w:p>
            <w:pPr>
              <w:spacing w:after="0"/>
              <w:rPr>
                <w:sz w:val="3"/>
                <w:szCs w:val="3"/>
                <w:color w:val="auto"/>
              </w:rPr>
            </w:pPr>
          </w:p>
        </w:tc>
        <w:tc>
          <w:tcPr>
            <w:tcW w:w="200" w:type="dxa"/>
            <w:vAlign w:val="bottom"/>
            <w:shd w:val="clear" w:color="auto" w:fill="000000"/>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140" w:type="dxa"/>
            <w:vAlign w:val="bottom"/>
            <w:shd w:val="clear" w:color="auto" w:fill="CCEE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240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Wapasu Creek Lodge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138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Fort McMurray Village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135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Conklin Lodge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128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Beaver River and Athabasca Lodges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Kitimat, British Columbia</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59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Sitka Lodge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 and lodges)</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58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Hudson and Borealis Lodges</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Acheson, Alberta (lease)</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40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 and warehouse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Vanderhoof, British Columbia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33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Storage yard</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30 acres</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Greywolf Lodge</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Fort McMurray, Alberta (leased land)</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18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Anzac Lodge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line="218" w:lineRule="exact"/>
              <w:rPr>
                <w:sz w:val="20"/>
                <w:szCs w:val="20"/>
                <w:color w:val="auto"/>
              </w:rPr>
            </w:pPr>
            <w:r>
              <w:rPr>
                <w:rFonts w:ascii="Times New Roman" w:cs="Times New Roman" w:eastAsia="Times New Roman" w:hAnsi="Times New Roman"/>
                <w:sz w:val="17"/>
                <w:szCs w:val="17"/>
                <w:color w:val="auto"/>
              </w:rPr>
              <w:t xml:space="preserve">Edmonton, Alberta (lease) </w:t>
            </w:r>
            <w:r>
              <w:rPr>
                <w:rFonts w:ascii="Times New Roman" w:cs="Times New Roman" w:eastAsia="Times New Roman" w:hAnsi="Times New Roman"/>
                <w:sz w:val="22"/>
                <w:szCs w:val="22"/>
                <w:color w:val="auto"/>
                <w:vertAlign w:val="superscript"/>
              </w:rPr>
              <w:t>(1)</w:t>
            </w:r>
          </w:p>
        </w:tc>
        <w:tc>
          <w:tcPr>
            <w:tcW w:w="2440" w:type="dxa"/>
            <w:vAlign w:val="bottom"/>
          </w:tcPr>
          <w:p>
            <w:pPr>
              <w:jc w:val="center"/>
              <w:ind w:left="855"/>
              <w:spacing w:after="0"/>
              <w:rPr>
                <w:sz w:val="20"/>
                <w:szCs w:val="20"/>
                <w:color w:val="auto"/>
              </w:rPr>
            </w:pPr>
            <w:r>
              <w:rPr>
                <w:rFonts w:ascii="Times New Roman" w:cs="Times New Roman" w:eastAsia="Times New Roman" w:hAnsi="Times New Roman"/>
                <w:sz w:val="17"/>
                <w:szCs w:val="17"/>
                <w:color w:val="auto"/>
              </w:rPr>
              <w:t>86,376 sq. feet</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 and commercial production kitchen</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line="218" w:lineRule="exact"/>
              <w:rPr>
                <w:sz w:val="20"/>
                <w:szCs w:val="20"/>
                <w:color w:val="auto"/>
              </w:rPr>
            </w:pPr>
            <w:r>
              <w:rPr>
                <w:rFonts w:ascii="Times New Roman" w:cs="Times New Roman" w:eastAsia="Times New Roman" w:hAnsi="Times New Roman"/>
                <w:sz w:val="17"/>
                <w:szCs w:val="17"/>
                <w:color w:val="auto"/>
              </w:rPr>
              <w:t xml:space="preserve">Edmonton, Alberta (lease) </w:t>
            </w:r>
            <w:r>
              <w:rPr>
                <w:rFonts w:ascii="Times New Roman" w:cs="Times New Roman" w:eastAsia="Times New Roman" w:hAnsi="Times New Roman"/>
                <w:sz w:val="22"/>
                <w:szCs w:val="22"/>
                <w:color w:val="auto"/>
                <w:vertAlign w:val="superscript"/>
              </w:rPr>
              <w:t>(2)</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23,648 sq. feet</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Calgary, Alberta (lease)</w:t>
            </w:r>
          </w:p>
        </w:tc>
        <w:tc>
          <w:tcPr>
            <w:tcW w:w="2440" w:type="dxa"/>
            <w:vAlign w:val="bottom"/>
          </w:tcPr>
          <w:p>
            <w:pPr>
              <w:jc w:val="center"/>
              <w:ind w:left="835"/>
              <w:spacing w:after="0"/>
              <w:rPr>
                <w:sz w:val="20"/>
                <w:szCs w:val="20"/>
                <w:color w:val="auto"/>
              </w:rPr>
            </w:pPr>
            <w:r>
              <w:rPr>
                <w:rFonts w:ascii="Times New Roman" w:cs="Times New Roman" w:eastAsia="Times New Roman" w:hAnsi="Times New Roman"/>
                <w:sz w:val="17"/>
                <w:szCs w:val="17"/>
                <w:color w:val="auto"/>
              </w:rPr>
              <w:t>7,000 sq. feet</w:t>
            </w:r>
          </w:p>
        </w:tc>
        <w:tc>
          <w:tcPr>
            <w:tcW w:w="3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w:t>
            </w:r>
          </w:p>
        </w:tc>
        <w:tc>
          <w:tcPr>
            <w:tcW w:w="0" w:type="dxa"/>
            <w:vAlign w:val="bottom"/>
          </w:tcPr>
          <w:p>
            <w:pPr>
              <w:spacing w:after="0"/>
              <w:rPr>
                <w:sz w:val="1"/>
                <w:szCs w:val="1"/>
                <w:color w:val="auto"/>
              </w:rPr>
            </w:pPr>
          </w:p>
        </w:tc>
      </w:tr>
      <w:tr>
        <w:trPr>
          <w:trHeight w:val="198"/>
        </w:trPr>
        <w:tc>
          <w:tcPr>
            <w:tcW w:w="120" w:type="dxa"/>
            <w:vAlign w:val="bottom"/>
            <w:shd w:val="clear" w:color="auto" w:fill="CCEEFF"/>
          </w:tcPr>
          <w:p>
            <w:pPr>
              <w:spacing w:after="0"/>
              <w:rPr>
                <w:sz w:val="17"/>
                <w:szCs w:val="17"/>
                <w:color w:val="auto"/>
              </w:rPr>
            </w:pPr>
          </w:p>
        </w:tc>
        <w:tc>
          <w:tcPr>
            <w:tcW w:w="4820" w:type="dxa"/>
            <w:vAlign w:val="bottom"/>
            <w:gridSpan w:val="4"/>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U.S.:</w:t>
            </w:r>
          </w:p>
        </w:tc>
        <w:tc>
          <w:tcPr>
            <w:tcW w:w="244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60" w:type="dxa"/>
            <w:vAlign w:val="bottom"/>
            <w:tcBorders>
              <w:top w:val="single" w:sz="8" w:color="CCEEFF"/>
            </w:tcBorders>
            <w:gridSpan w:val="3"/>
          </w:tcPr>
          <w:p>
            <w:pPr>
              <w:ind w:left="40"/>
              <w:spacing w:after="0"/>
              <w:rPr>
                <w:sz w:val="20"/>
                <w:szCs w:val="20"/>
                <w:color w:val="auto"/>
              </w:rPr>
            </w:pPr>
            <w:r>
              <w:rPr>
                <w:rFonts w:ascii="Times New Roman" w:cs="Times New Roman" w:eastAsia="Times New Roman" w:hAnsi="Times New Roman"/>
                <w:sz w:val="17"/>
                <w:szCs w:val="17"/>
                <w:color w:val="auto"/>
              </w:rPr>
              <w:t>Houston, Texas (lease)</w:t>
            </w:r>
          </w:p>
        </w:tc>
        <w:tc>
          <w:tcPr>
            <w:tcW w:w="2440" w:type="dxa"/>
            <w:vAlign w:val="bottom"/>
            <w:tcBorders>
              <w:top w:val="single" w:sz="8" w:color="CCEEFF"/>
            </w:tcBorders>
          </w:tcPr>
          <w:p>
            <w:pPr>
              <w:jc w:val="center"/>
              <w:ind w:left="855"/>
              <w:spacing w:after="0"/>
              <w:rPr>
                <w:sz w:val="20"/>
                <w:szCs w:val="20"/>
                <w:color w:val="auto"/>
              </w:rPr>
            </w:pPr>
            <w:r>
              <w:rPr>
                <w:rFonts w:ascii="Times New Roman" w:cs="Times New Roman" w:eastAsia="Times New Roman" w:hAnsi="Times New Roman"/>
                <w:sz w:val="17"/>
                <w:szCs w:val="17"/>
                <w:color w:val="auto"/>
              </w:rPr>
              <w:t>10,639 sq. feet</w:t>
            </w:r>
          </w:p>
        </w:tc>
        <w:tc>
          <w:tcPr>
            <w:tcW w:w="3840" w:type="dxa"/>
            <w:vAlign w:val="bottom"/>
            <w:tcBorders>
              <w:top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Principal executive offices</w:t>
            </w:r>
          </w:p>
        </w:tc>
        <w:tc>
          <w:tcPr>
            <w:tcW w:w="0" w:type="dxa"/>
            <w:vAlign w:val="bottom"/>
          </w:tcPr>
          <w:p>
            <w:pPr>
              <w:spacing w:after="0"/>
              <w:rPr>
                <w:sz w:val="1"/>
                <w:szCs w:val="1"/>
                <w:color w:val="auto"/>
              </w:rPr>
            </w:pPr>
          </w:p>
        </w:tc>
      </w:tr>
      <w:tr>
        <w:trPr>
          <w:trHeight w:val="218"/>
        </w:trPr>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Killdeer, North Dakota</w:t>
            </w:r>
          </w:p>
        </w:tc>
        <w:tc>
          <w:tcPr>
            <w:tcW w:w="2440" w:type="dxa"/>
            <w:vAlign w:val="bottom"/>
            <w:shd w:val="clear" w:color="auto" w:fill="CCEEFF"/>
          </w:tcPr>
          <w:p>
            <w:pPr>
              <w:jc w:val="center"/>
              <w:ind w:left="855"/>
              <w:spacing w:after="0"/>
              <w:rPr>
                <w:sz w:val="20"/>
                <w:szCs w:val="20"/>
                <w:color w:val="auto"/>
              </w:rPr>
            </w:pPr>
            <w:r>
              <w:rPr>
                <w:rFonts w:ascii="Times New Roman" w:cs="Times New Roman" w:eastAsia="Times New Roman" w:hAnsi="Times New Roman"/>
                <w:sz w:val="17"/>
                <w:szCs w:val="17"/>
                <w:color w:val="auto"/>
              </w:rPr>
              <w:t>39 acres</w:t>
            </w: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Killdeer Lodge</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left="320" w:hanging="164"/>
        <w:spacing w:after="0"/>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office and commercial production kitchen was vacated as of December 31, 2025 and the related lease expired in February 2026.</w:t>
      </w:r>
    </w:p>
    <w:p>
      <w:pPr>
        <w:ind w:left="320" w:hanging="164"/>
        <w:spacing w:after="0" w:line="202" w:lineRule="auto"/>
        <w:tabs>
          <w:tab w:leader="none" w:pos="3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new office in Canada replaced the office and commercial production kitchen.</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also own various undeveloped properties in British Columbia.</w:t>
      </w:r>
    </w:p>
    <w:p>
      <w:pPr>
        <w:spacing w:after="0" w:line="24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believe that our leases are at competitive or market rates and do not anticipate any difficulty in leasing additional suitable space upon expiration of our current lease terms.</w:t>
      </w:r>
    </w:p>
    <w:p>
      <w:pPr>
        <w:spacing w:after="0" w:line="15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Leased land for our lodge properties in Canada refers to land leased from the Alberta government. We also lease land for our Karratha Village from the state government in Australia. Generally, these leases have an initial term of ten years and are scheduled to expire between 2027 and 2035 with the exception of one lease that expires in 2049.</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 xml:space="preserve">ITEM 3. </w:t>
      </w:r>
      <w:r>
        <w:rPr>
          <w:rFonts w:ascii="Times New Roman" w:cs="Times New Roman" w:eastAsia="Times New Roman" w:hAnsi="Times New Roman"/>
          <w:sz w:val="17"/>
          <w:szCs w:val="17"/>
          <w:b w:val="1"/>
          <w:bCs w:val="1"/>
          <w:i w:val="1"/>
          <w:iCs w:val="1"/>
          <w:color w:val="auto"/>
        </w:rPr>
        <w:t>Legal Proceedings</w:t>
      </w:r>
    </w:p>
    <w:p>
      <w:pPr>
        <w:spacing w:after="0" w:line="220" w:lineRule="exact"/>
        <w:rPr>
          <w:sz w:val="20"/>
          <w:szCs w:val="20"/>
          <w:color w:val="auto"/>
        </w:rPr>
      </w:pPr>
    </w:p>
    <w:p>
      <w:pPr>
        <w:jc w:val="both"/>
        <w:ind w:firstLine="307"/>
        <w:spacing w:after="0" w:line="256"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4. </w:t>
      </w:r>
      <w:r>
        <w:rPr>
          <w:rFonts w:ascii="Times New Roman" w:cs="Times New Roman" w:eastAsia="Times New Roman" w:hAnsi="Times New Roman"/>
          <w:sz w:val="17"/>
          <w:szCs w:val="17"/>
          <w:b w:val="1"/>
          <w:bCs w:val="1"/>
          <w:i w:val="1"/>
          <w:iCs w:val="1"/>
          <w:color w:val="auto"/>
        </w:rPr>
        <w:t>Mine Safety Disclosures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Shareholder Matters and Issuer Purchases of Equity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for Our Common Shares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common shares trade on the New York Stock Exchange under the trading symbol “CVEO”.</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February 26, 2026, there were 9 holders of record of Civeo common shares.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Information</w:t>
      </w:r>
    </w:p>
    <w:p>
      <w:pPr>
        <w:spacing w:after="0" w:line="21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jc w:val="both"/>
        <w:ind w:firstLine="461"/>
        <w:spacing w:after="0" w:line="257" w:lineRule="auto"/>
        <w:rPr>
          <w:sz w:val="20"/>
          <w:szCs w:val="20"/>
          <w:color w:val="auto"/>
        </w:rPr>
      </w:pPr>
      <w:r>
        <w:rPr>
          <w:rFonts w:ascii="Times New Roman" w:cs="Times New Roman" w:eastAsia="Times New Roman" w:hAnsi="Times New Roman"/>
          <w:sz w:val="17"/>
          <w:szCs w:val="17"/>
          <w:color w:val="auto"/>
        </w:rPr>
        <w:t>The following performance graph and chart compare the cumulative total return to holders of our common shares with the cumulative total returns of the Standard &amp; Poor's 500 Stock Index, Philadelphia OSX and with that of our peer group, for the period from December 31, 2020 to December 31, 2025. The graph and chart show the value, at the dates indicated, of $100 invested at December 31, 2020 and assume the reinvestment of all dividends, as applicable.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5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Our peer group consists of the following:</w:t>
            </w:r>
          </w:p>
        </w:tc>
        <w:tc>
          <w:tcPr>
            <w:tcW w:w="5260" w:type="dxa"/>
            <w:vAlign w:val="bottom"/>
          </w:tcPr>
          <w:p>
            <w:pPr>
              <w:spacing w:after="0"/>
              <w:rPr>
                <w:sz w:val="19"/>
                <w:szCs w:val="19"/>
                <w:color w:val="auto"/>
              </w:rPr>
            </w:pPr>
          </w:p>
        </w:tc>
      </w:tr>
      <w:tr>
        <w:trPr>
          <w:trHeight w:val="255"/>
        </w:trPr>
        <w:tc>
          <w:tcPr>
            <w:tcW w:w="340" w:type="dxa"/>
            <w:vAlign w:val="bottom"/>
          </w:tcPr>
          <w:p>
            <w:pPr>
              <w:spacing w:after="0"/>
              <w:rPr>
                <w:sz w:val="22"/>
                <w:szCs w:val="22"/>
                <w:color w:val="auto"/>
              </w:rPr>
            </w:pPr>
          </w:p>
        </w:tc>
        <w:tc>
          <w:tcPr>
            <w:tcW w:w="4860" w:type="dxa"/>
            <w:vAlign w:val="bottom"/>
          </w:tcPr>
          <w:p>
            <w:pPr>
              <w:spacing w:after="0"/>
              <w:rPr>
                <w:sz w:val="22"/>
                <w:szCs w:val="22"/>
                <w:color w:val="auto"/>
              </w:rPr>
            </w:pPr>
          </w:p>
        </w:tc>
        <w:tc>
          <w:tcPr>
            <w:tcW w:w="5260" w:type="dxa"/>
            <w:vAlign w:val="bottom"/>
          </w:tcPr>
          <w:p>
            <w:pPr>
              <w:spacing w:after="0"/>
              <w:rPr>
                <w:sz w:val="22"/>
                <w:szCs w:val="22"/>
                <w:color w:val="auto"/>
              </w:rPr>
            </w:pPr>
          </w:p>
        </w:tc>
      </w:tr>
      <w:tr>
        <w:trPr>
          <w:trHeight w:val="218"/>
        </w:trPr>
        <w:tc>
          <w:tcPr>
            <w:tcW w:w="340" w:type="dxa"/>
            <w:vAlign w:val="bottom"/>
          </w:tcPr>
          <w:p>
            <w:pPr>
              <w:spacing w:after="0"/>
              <w:rPr>
                <w:sz w:val="18"/>
                <w:szCs w:val="18"/>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Badger Daylighting Ltd.</w:t>
            </w:r>
          </w:p>
        </w:tc>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Nine Energy Service, Inc.</w:t>
            </w:r>
          </w:p>
        </w:tc>
      </w:tr>
      <w:tr>
        <w:trPr>
          <w:trHeight w:val="218"/>
        </w:trPr>
        <w:tc>
          <w:tcPr>
            <w:tcW w:w="34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Black Diamond Group Limited</w:t>
            </w:r>
          </w:p>
        </w:tc>
        <w:tc>
          <w:tcPr>
            <w:tcW w:w="5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North American Construction Group</w:t>
            </w:r>
          </w:p>
        </w:tc>
      </w:tr>
      <w:tr>
        <w:trPr>
          <w:trHeight w:val="218"/>
        </w:trPr>
        <w:tc>
          <w:tcPr>
            <w:tcW w:w="340" w:type="dxa"/>
            <w:vAlign w:val="bottom"/>
          </w:tcPr>
          <w:p>
            <w:pPr>
              <w:spacing w:after="0"/>
              <w:rPr>
                <w:sz w:val="18"/>
                <w:szCs w:val="18"/>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Dexterra Group Inc.</w:t>
            </w:r>
          </w:p>
        </w:tc>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Oil States International, Inc.</w:t>
            </w:r>
          </w:p>
        </w:tc>
      </w:tr>
      <w:tr>
        <w:trPr>
          <w:trHeight w:val="218"/>
        </w:trPr>
        <w:tc>
          <w:tcPr>
            <w:tcW w:w="34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Enerflex Ltd.</w:t>
            </w:r>
          </w:p>
        </w:tc>
        <w:tc>
          <w:tcPr>
            <w:tcW w:w="5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Precision Drilling Corporation</w:t>
            </w:r>
          </w:p>
        </w:tc>
      </w:tr>
      <w:tr>
        <w:trPr>
          <w:trHeight w:val="218"/>
        </w:trPr>
        <w:tc>
          <w:tcPr>
            <w:tcW w:w="340" w:type="dxa"/>
            <w:vAlign w:val="bottom"/>
          </w:tcPr>
          <w:p>
            <w:pPr>
              <w:spacing w:after="0"/>
              <w:rPr>
                <w:sz w:val="18"/>
                <w:szCs w:val="18"/>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Forum Energy Technologies, Inc.</w:t>
            </w:r>
          </w:p>
        </w:tc>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Select Energy Services Inc.</w:t>
            </w:r>
          </w:p>
        </w:tc>
      </w:tr>
      <w:tr>
        <w:trPr>
          <w:trHeight w:val="218"/>
        </w:trPr>
        <w:tc>
          <w:tcPr>
            <w:tcW w:w="34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Matrix Service Company</w:t>
            </w:r>
          </w:p>
        </w:tc>
        <w:tc>
          <w:tcPr>
            <w:tcW w:w="5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Target Hospitality Corp.</w:t>
            </w:r>
          </w:p>
        </w:tc>
      </w:tr>
      <w:tr>
        <w:trPr>
          <w:trHeight w:val="218"/>
        </w:trPr>
        <w:tc>
          <w:tcPr>
            <w:tcW w:w="340" w:type="dxa"/>
            <w:vAlign w:val="bottom"/>
          </w:tcPr>
          <w:p>
            <w:pPr>
              <w:spacing w:after="0"/>
              <w:rPr>
                <w:sz w:val="18"/>
                <w:szCs w:val="18"/>
                <w:color w:val="auto"/>
              </w:rPr>
            </w:pPr>
          </w:p>
        </w:tc>
        <w:tc>
          <w:tcPr>
            <w:tcW w:w="4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McGrath RentCorp</w:t>
            </w:r>
          </w:p>
        </w:tc>
        <w:tc>
          <w:tcPr>
            <w:tcW w:w="5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Tetra Technologies, Inc.</w:t>
            </w:r>
          </w:p>
        </w:tc>
      </w:tr>
      <w:tr>
        <w:trPr>
          <w:trHeight w:val="222"/>
        </w:trPr>
        <w:tc>
          <w:tcPr>
            <w:tcW w:w="34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NPK International Inc. (formerly Newpark Resources, Inc.)</w:t>
            </w:r>
          </w:p>
        </w:tc>
        <w:tc>
          <w:tcPr>
            <w:tcW w:w="52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Energy Services Inc.</w:t>
            </w:r>
          </w:p>
        </w:tc>
      </w:tr>
    </w:tbl>
    <w:p>
      <w:pPr>
        <w:spacing w:after="0" w:line="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color w:val="auto"/>
        </w:rPr>
        <w:t>Note: The current peer group remained unchanged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497205</wp:posOffset>
            </wp:positionH>
            <wp:positionV relativeFrom="page">
              <wp:posOffset>552450</wp:posOffset>
            </wp:positionV>
            <wp:extent cx="5269230" cy="4374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269230" cy="437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12/31/20</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12/31/21</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rPr>
              <w:t>12/31/22</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w w:val="99"/>
              </w:rPr>
              <w:t>12/31/23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9"/>
              </w:rPr>
              <w:t>12/31/24</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12/31/25</w:t>
            </w:r>
          </w:p>
        </w:tc>
      </w:tr>
      <w:tr>
        <w:trPr>
          <w:trHeight w:val="21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Civeo Corporation</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100.00</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137.91</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223.74</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168.16</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174.21</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177.00</w:t>
            </w:r>
          </w:p>
        </w:tc>
      </w:tr>
      <w:tr>
        <w:trPr>
          <w:trHeight w:val="218"/>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S&amp;P 500</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100.00</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128.71</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105.40</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133.10</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166.40</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196.16</w:t>
            </w:r>
          </w:p>
        </w:tc>
      </w:tr>
      <w:tr>
        <w:trPr>
          <w:trHeight w:val="218"/>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PHLX Oil Service Sector</w:t>
            </w: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100.00</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120.74</w:t>
            </w:r>
          </w:p>
        </w:tc>
        <w:tc>
          <w:tcPr>
            <w:tcW w:w="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194.98</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198.71</w:t>
            </w:r>
          </w:p>
        </w:tc>
        <w:tc>
          <w:tcPr>
            <w:tcW w:w="3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175.53</w:t>
            </w:r>
          </w:p>
        </w:tc>
        <w:tc>
          <w:tcPr>
            <w:tcW w:w="3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181.73</w:t>
            </w:r>
          </w:p>
        </w:tc>
      </w:tr>
      <w:tr>
        <w:trPr>
          <w:trHeight w:val="226"/>
        </w:trPr>
        <w:tc>
          <w:tcPr>
            <w:tcW w:w="3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Peer Group</w:t>
            </w:r>
          </w:p>
        </w:tc>
        <w:tc>
          <w:tcPr>
            <w:tcW w:w="28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35"/>
              <w:spacing w:after="0"/>
              <w:rPr>
                <w:sz w:val="20"/>
                <w:szCs w:val="20"/>
                <w:color w:val="auto"/>
              </w:rPr>
            </w:pPr>
            <w:r>
              <w:rPr>
                <w:rFonts w:ascii="Times New Roman" w:cs="Times New Roman" w:eastAsia="Times New Roman" w:hAnsi="Times New Roman"/>
                <w:sz w:val="17"/>
                <w:szCs w:val="17"/>
                <w:b w:val="1"/>
                <w:bCs w:val="1"/>
                <w:color w:val="auto"/>
              </w:rPr>
              <w:t>100.00</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135.42</w:t>
            </w:r>
          </w:p>
        </w:tc>
        <w:tc>
          <w:tcPr>
            <w:tcW w:w="3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150.19</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w w:val="98"/>
              </w:rPr>
              <w:t>161.49</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187.58</w:t>
            </w:r>
          </w:p>
        </w:tc>
        <w:tc>
          <w:tcPr>
            <w:tcW w:w="34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197.11</w:t>
            </w:r>
          </w:p>
        </w:tc>
      </w:tr>
    </w:tbl>
    <w:p>
      <w:pPr>
        <w:spacing w:after="0" w:line="257" w:lineRule="exact"/>
        <w:rPr>
          <w:sz w:val="20"/>
          <w:szCs w:val="20"/>
          <w:color w:val="auto"/>
        </w:rPr>
      </w:pPr>
    </w:p>
    <w:p>
      <w:pPr>
        <w:ind w:firstLine="461"/>
        <w:spacing w:after="0" w:line="284" w:lineRule="auto"/>
        <w:rPr>
          <w:sz w:val="20"/>
          <w:szCs w:val="20"/>
          <w:color w:val="auto"/>
        </w:rPr>
      </w:pPr>
      <w:r>
        <w:rPr>
          <w:rFonts w:ascii="Times New Roman" w:cs="Times New Roman" w:eastAsia="Times New Roman" w:hAnsi="Times New Roman"/>
          <w:sz w:val="17"/>
          <w:szCs w:val="17"/>
          <w:color w:val="auto"/>
        </w:rPr>
        <w:t>The performance graph above is furnished and not filed for purposes of the Securities Act and the Exchange Act. The performance graph is not soliciting material subject to Regulation 14A.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Repurchases of Registered Equity Securities by Registrant or its Affiliates in the Fourth Quarter</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provides information about purchases of our common shares during the three months ended December 31, 2025.</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3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0" w:type="dxa"/>
            <w:vAlign w:val="bottom"/>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Maximum number of</w:t>
            </w: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980" w:type="dxa"/>
            <w:vAlign w:val="bottom"/>
            <w:vMerge w:val="restart"/>
          </w:tcPr>
          <w:p>
            <w:pPr>
              <w:jc w:val="center"/>
              <w:ind w:left="267"/>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0" w:type="dxa"/>
            <w:vAlign w:val="bottom"/>
          </w:tcPr>
          <w:p>
            <w:pPr>
              <w:jc w:val="center"/>
              <w:ind w:left="43"/>
              <w:spacing w:after="0" w:line="154" w:lineRule="exact"/>
              <w:rPr>
                <w:sz w:val="20"/>
                <w:szCs w:val="20"/>
                <w:color w:val="auto"/>
              </w:rPr>
            </w:pPr>
            <w:r>
              <w:rPr>
                <w:rFonts w:ascii="Times New Roman" w:cs="Times New Roman" w:eastAsia="Times New Roman" w:hAnsi="Times New Roman"/>
                <w:sz w:val="15"/>
                <w:szCs w:val="15"/>
                <w:b w:val="1"/>
                <w:bCs w:val="1"/>
                <w:color w:val="auto"/>
              </w:rPr>
              <w:t>purchased as part of</w:t>
            </w:r>
          </w:p>
        </w:tc>
        <w:tc>
          <w:tcPr>
            <w:tcW w:w="1680" w:type="dxa"/>
            <w:vAlign w:val="bottom"/>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shares that may be</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98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restart"/>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2000" w:type="dxa"/>
            <w:vAlign w:val="bottom"/>
            <w:vMerge w:val="restart"/>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publicly announced plans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purchased under the</w:t>
            </w:r>
          </w:p>
        </w:tc>
        <w:tc>
          <w:tcPr>
            <w:tcW w:w="0" w:type="dxa"/>
            <w:vAlign w:val="bottom"/>
          </w:tcPr>
          <w:p>
            <w:pPr>
              <w:spacing w:after="0"/>
              <w:rPr>
                <w:sz w:val="1"/>
                <w:szCs w:val="1"/>
                <w:color w:val="auto"/>
              </w:rPr>
            </w:pPr>
          </w:p>
        </w:tc>
      </w:tr>
      <w:tr>
        <w:trPr>
          <w:trHeight w:val="154"/>
        </w:trPr>
        <w:tc>
          <w:tcPr>
            <w:tcW w:w="3080" w:type="dxa"/>
            <w:vAlign w:val="bottom"/>
          </w:tcPr>
          <w:p>
            <w:pPr>
              <w:spacing w:after="0"/>
              <w:rPr>
                <w:sz w:val="13"/>
                <w:szCs w:val="13"/>
                <w:color w:val="auto"/>
              </w:rPr>
            </w:pPr>
          </w:p>
        </w:tc>
        <w:tc>
          <w:tcPr>
            <w:tcW w:w="1980" w:type="dxa"/>
            <w:vAlign w:val="bottom"/>
          </w:tcPr>
          <w:p>
            <w:pPr>
              <w:jc w:val="center"/>
              <w:ind w:left="267"/>
              <w:spacing w:after="0" w:line="154" w:lineRule="exact"/>
              <w:rPr>
                <w:sz w:val="20"/>
                <w:szCs w:val="20"/>
                <w:color w:val="auto"/>
              </w:rPr>
            </w:pPr>
            <w:r>
              <w:rPr>
                <w:rFonts w:ascii="Times New Roman" w:cs="Times New Roman" w:eastAsia="Times New Roman" w:hAnsi="Times New Roman"/>
                <w:sz w:val="15"/>
                <w:szCs w:val="15"/>
                <w:b w:val="1"/>
                <w:bCs w:val="1"/>
                <w:color w:val="auto"/>
              </w:rPr>
              <w:t>Shares Purchased</w:t>
            </w:r>
          </w:p>
        </w:tc>
        <w:tc>
          <w:tcPr>
            <w:tcW w:w="3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080" w:type="dxa"/>
            <w:vAlign w:val="bottom"/>
          </w:tcPr>
          <w:p>
            <w:pPr>
              <w:spacing w:after="0"/>
              <w:rPr>
                <w:sz w:val="8"/>
                <w:szCs w:val="8"/>
                <w:color w:val="auto"/>
              </w:rPr>
            </w:pPr>
          </w:p>
        </w:tc>
        <w:tc>
          <w:tcPr>
            <w:tcW w:w="1980" w:type="dxa"/>
            <w:vAlign w:val="bottom"/>
          </w:tcPr>
          <w:p>
            <w:pPr>
              <w:jc w:val="center"/>
              <w:ind w:left="267"/>
              <w:spacing w:after="0" w:line="103" w:lineRule="exact"/>
              <w:rPr>
                <w:sz w:val="20"/>
                <w:szCs w:val="20"/>
                <w:color w:val="auto"/>
              </w:rPr>
            </w:pPr>
            <w:r>
              <w:rPr>
                <w:rFonts w:ascii="Times New Roman" w:cs="Times New Roman" w:eastAsia="Times New Roman" w:hAnsi="Times New Roman"/>
                <w:sz w:val="10"/>
                <w:szCs w:val="10"/>
                <w:b w:val="1"/>
                <w:bCs w:val="1"/>
                <w:color w:val="auto"/>
              </w:rPr>
              <w:t>(1)</w:t>
            </w:r>
          </w:p>
        </w:tc>
        <w:tc>
          <w:tcPr>
            <w:tcW w:w="340" w:type="dxa"/>
            <w:vAlign w:val="bottom"/>
          </w:tcPr>
          <w:p>
            <w:pPr>
              <w:spacing w:after="0"/>
              <w:rPr>
                <w:sz w:val="8"/>
                <w:szCs w:val="8"/>
                <w:color w:val="auto"/>
              </w:rPr>
            </w:pPr>
          </w:p>
        </w:tc>
        <w:tc>
          <w:tcPr>
            <w:tcW w:w="1560" w:type="dxa"/>
            <w:vAlign w:val="bottom"/>
            <w:vMerge w:val="restart"/>
          </w:tcPr>
          <w:p>
            <w:pPr>
              <w:jc w:val="right"/>
              <w:ind w:right="523"/>
              <w:spacing w:after="0" w:line="154" w:lineRule="exact"/>
              <w:rPr>
                <w:sz w:val="20"/>
                <w:szCs w:val="20"/>
                <w:color w:val="auto"/>
              </w:rPr>
            </w:pPr>
            <w:r>
              <w:rPr>
                <w:rFonts w:ascii="Times New Roman" w:cs="Times New Roman" w:eastAsia="Times New Roman" w:hAnsi="Times New Roman"/>
                <w:sz w:val="15"/>
                <w:szCs w:val="15"/>
                <w:b w:val="1"/>
                <w:bCs w:val="1"/>
                <w:color w:val="auto"/>
              </w:rPr>
              <w:t>per Share</w:t>
            </w:r>
          </w:p>
        </w:tc>
        <w:tc>
          <w:tcPr>
            <w:tcW w:w="2000" w:type="dxa"/>
            <w:vAlign w:val="bottom"/>
            <w:vMerge w:val="restart"/>
          </w:tcPr>
          <w:p>
            <w:pPr>
              <w:jc w:val="center"/>
              <w:ind w:left="43"/>
              <w:spacing w:after="0" w:line="154" w:lineRule="exact"/>
              <w:rPr>
                <w:sz w:val="20"/>
                <w:szCs w:val="20"/>
                <w:color w:val="auto"/>
              </w:rPr>
            </w:pPr>
            <w:r>
              <w:rPr>
                <w:rFonts w:ascii="Times New Roman" w:cs="Times New Roman" w:eastAsia="Times New Roman" w:hAnsi="Times New Roman"/>
                <w:sz w:val="15"/>
                <w:szCs w:val="15"/>
                <w:b w:val="1"/>
                <w:bCs w:val="1"/>
                <w:color w:val="auto"/>
              </w:rPr>
              <w:t>or programs</w:t>
            </w:r>
          </w:p>
        </w:tc>
        <w:tc>
          <w:tcPr>
            <w:tcW w:w="168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5"/>
                <w:szCs w:val="15"/>
                <w:b w:val="1"/>
                <w:bCs w:val="1"/>
                <w:color w:val="auto"/>
              </w:rPr>
              <w:t>plans or programs</w:t>
            </w:r>
          </w:p>
        </w:tc>
        <w:tc>
          <w:tcPr>
            <w:tcW w:w="0" w:type="dxa"/>
            <w:vAlign w:val="bottom"/>
          </w:tcPr>
          <w:p>
            <w:pPr>
              <w:spacing w:after="0"/>
              <w:rPr>
                <w:sz w:val="1"/>
                <w:szCs w:val="1"/>
                <w:color w:val="auto"/>
              </w:rPr>
            </w:pPr>
          </w:p>
        </w:tc>
      </w:tr>
      <w:tr>
        <w:trPr>
          <w:trHeight w:val="51"/>
        </w:trPr>
        <w:tc>
          <w:tcPr>
            <w:tcW w:w="30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October 1, 2025 - October 31, 2025</w:t>
            </w:r>
          </w:p>
        </w:tc>
        <w:tc>
          <w:tcPr>
            <w:tcW w:w="19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152,412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22.03</w:t>
            </w:r>
          </w:p>
        </w:tc>
        <w:tc>
          <w:tcPr>
            <w:tcW w:w="2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152,412</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692,034</w:t>
            </w:r>
          </w:p>
        </w:tc>
        <w:tc>
          <w:tcPr>
            <w:tcW w:w="0" w:type="dxa"/>
            <w:vAlign w:val="bottom"/>
          </w:tcPr>
          <w:p>
            <w:pPr>
              <w:spacing w:after="0"/>
              <w:rPr>
                <w:sz w:val="1"/>
                <w:szCs w:val="1"/>
                <w:color w:val="auto"/>
              </w:rPr>
            </w:pPr>
          </w:p>
        </w:tc>
      </w:tr>
      <w:tr>
        <w:trPr>
          <w:trHeight w:val="202"/>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November 1, 2025 - November 30, 2025</w:t>
            </w:r>
          </w:p>
        </w:tc>
        <w:tc>
          <w:tcPr>
            <w:tcW w:w="19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64,014</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22.34</w:t>
            </w:r>
          </w:p>
        </w:tc>
        <w:tc>
          <w:tcPr>
            <w:tcW w:w="2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64,014</w:t>
            </w: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628,020</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December 1, 2025 - December 31, 2025</w:t>
            </w:r>
          </w:p>
        </w:tc>
        <w:tc>
          <w:tcPr>
            <w:tcW w:w="198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5"/>
                <w:szCs w:val="15"/>
                <w:color w:val="auto"/>
              </w:rPr>
              <w:t>6,000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22.28</w:t>
            </w:r>
          </w:p>
        </w:tc>
        <w:tc>
          <w:tcPr>
            <w:tcW w:w="2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6,000</w:t>
            </w:r>
          </w:p>
        </w:tc>
        <w:tc>
          <w:tcPr>
            <w:tcW w:w="1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622,020</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980" w:type="dxa"/>
            <w:vAlign w:val="bottom"/>
          </w:tcPr>
          <w:p>
            <w:pPr>
              <w:jc w:val="right"/>
              <w:ind w:right="147"/>
              <w:spacing w:after="0"/>
              <w:rPr>
                <w:sz w:val="20"/>
                <w:szCs w:val="20"/>
                <w:color w:val="auto"/>
              </w:rPr>
            </w:pPr>
            <w:r>
              <w:rPr>
                <w:rFonts w:ascii="Times New Roman" w:cs="Times New Roman" w:eastAsia="Times New Roman" w:hAnsi="Times New Roman"/>
                <w:sz w:val="15"/>
                <w:szCs w:val="15"/>
                <w:color w:val="auto"/>
              </w:rPr>
              <w:t>222,426</w:t>
            </w:r>
          </w:p>
        </w:tc>
        <w:tc>
          <w:tcPr>
            <w:tcW w:w="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56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22.13</w:t>
            </w:r>
          </w:p>
        </w:tc>
        <w:tc>
          <w:tcPr>
            <w:tcW w:w="20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222,426</w:t>
            </w:r>
          </w:p>
        </w:tc>
        <w:tc>
          <w:tcPr>
            <w:tcW w:w="1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622,020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hanging="310"/>
        <w:spacing w:after="0" w:line="195" w:lineRule="exact"/>
        <w:tabs>
          <w:tab w:leader="none" w:pos="55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April 2025, our Board authorized the repurchase of up to 20% of our total common shares which are issued and outstanding at that date, or approximately 2.7 million common shares (the 2025 Share Repurchase Program). Under the 2025 Share Repurchase Program, we may repurchase shares through a variety of methods, including but not limited to open market repurchases, pursuant to a 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compliant plan, or privately negotiated transactions. The 2025 Share Repurchase Program does not expire. We repurchased an aggregate of 222,426 of our common shares outstanding for approximately $4.9 million under the 2025 Share Repurchase Program during the three months ended December 31, 2025.</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 xml:space="preserve">ITEM 6. </w:t>
      </w:r>
      <w:r>
        <w:rPr>
          <w:rFonts w:ascii="Times New Roman" w:cs="Times New Roman" w:eastAsia="Times New Roman" w:hAnsi="Times New Roman"/>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 xml:space="preserve">ITEM 7. </w:t>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0"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contains “forward-looking statements” within the meaning of Section 27A of the Securities Act and Section 21E of the Exchange Act that are based on management’s current expectations, estimates and projections about our business operations. Read “Cautionary Statement Regarding Forward Looking Statements.” Our actual results may differ materially from those currently anticipated and expressed in such forward-looking statements as a result of numerous factors, including the known material factors set forth in Item 1A. “Risk Factors” of this annual report. You should read the following discussion and analysis together with our consolidated financial statements and the notes to those statements in Item 8 of this annual report.</w:t>
      </w:r>
    </w:p>
    <w:p>
      <w:pPr>
        <w:spacing w:after="0" w:line="199"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This section of this annual report generally discusses key operating and financial data as of and for the years ended 2025 and 2024 and provides year-over-year comparisons for such periods. For a similar discussion and year-over-year comparisons to our 2023 results, refer to "Management’s Discussion and Analysis of Financial Condition and Results of Operations" in Part II, Item 7 of our Annual Report on Form 10-K for the year ended December 31, 2024, filed with the Securities and Exchange Commission on February 27,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Business</w:t>
      </w:r>
    </w:p>
    <w:p>
      <w:pPr>
        <w:spacing w:after="0" w:line="21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also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iron ore and liquefied natural gas (LNG) producing regions, and our customers include mining companies, major and independent oil companies, construction, engineering companies and oilfield and mining service companies. We operate in two principal reportable business segments – Australia and Canada.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1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annual report to “dollars” or “$” are to United States (U.S.) dollars.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Macroeconomic Environment</w:t>
      </w:r>
    </w:p>
    <w:p>
      <w:pPr>
        <w:spacing w:after="0" w:line="218"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Demand for the majority of our hospitality services is driven primarily by ongoing operations of existing natural resource projects in Australia and Canada. Historically, initial demand for our hospitality services has been driven by our customers’ capital spending programs related to the construction and development of natural resource projects and associated infrastructure. Long-term demand for our services has been driven by natural resource production, maintenance, operation and expansion of those facilities. In general, industry capital spending programs are based on the outlook for commodity prices, production costs, economic growth, perceived political risk, global commodity supply/demand, reserve replacement requirements, estimates of resource production, annual maintenance requirements, inclusive of turnaround requirements, and the expectations of our customers' shareholders. As a result, demand for our hospitality services is sensitive to expected commodity prices, principally related to met coal, oil, iron ore and LNG, and the resultant impact of these commodity price expectations on our customers' spending. In addition to these historical demand drivers, there is increasing demand, of relative significance, for our assets and services tied to data center construction. This is principally occurring in the U.S. but could begin to occur in Australia and Canada as well. Other factors that can affect our business and financial results include the general global economic environment, including inflationary pressures, supply chain disruptions and labor shortages, the impact of global tariff changes and other changes to trade policies, volatility affecting the banking system and financial markets, availability of capital to the natural resource industry and regulatory changes in Australia, Canada and other markets, including governmental measures introduced to mitigate climate change.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244"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Both oil prices and met coal prices experienced swings of greater than 10% during 2025, when compared to year end 2024 prices, with each commodity testing multi-year lows during 2025. While prices for the commodities that our customers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48" w:name="page49"/>
    <w:bookmarkEnd w:id="48"/>
    <w:p>
      <w:pPr>
        <w:jc w:val="both"/>
        <w:spacing w:after="0" w:line="256" w:lineRule="auto"/>
        <w:rPr>
          <w:sz w:val="20"/>
          <w:szCs w:val="20"/>
          <w:color w:val="auto"/>
        </w:rPr>
      </w:pPr>
      <w:r>
        <w:rPr>
          <w:rFonts w:ascii="Times New Roman" w:cs="Times New Roman" w:eastAsia="Times New Roman" w:hAnsi="Times New Roman"/>
          <w:sz w:val="17"/>
          <w:szCs w:val="17"/>
          <w:color w:val="auto"/>
        </w:rPr>
        <w:t>produce have stabilized in late 2025 and early 2026, there is risk of future volatility. The factors that could drive such volatility and underlying activity include expectations for global macroeconomic stability and growth, inflationary pressures, higher interest rates, economic growth (or contraction) in China and resultant economic stimulus by the Chinese government, the impact of changes to global tariff and trade policies, actions taken by Organization of the Petroleum Exporting Countries Plus (OPEC+) to adjust oil production levels, geopolitical events such as the ongoing conflicts in Russia/Ukraine, Venezuela and the Middle East, U.S. oil production levels and regulatory implications on such prices. In Canada, recent tensions between the U.S Administration and Canadian leadership have driven an increase in political support to fast-track infrastructure projects which could include pipelines for LNG or oil, carbon capture installation for oil producing operations and mining for critical minerals.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Recent Commodity Prices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Recent met coal, iron ore, West Texas Intermediate (WTI) crude, and Western Canadian Select (WCS) crude pricing trends are as follows:</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3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7"/>
                <w:szCs w:val="17"/>
                <w:color w:val="auto"/>
              </w:rPr>
              <w:t xml:space="preserve">Average Price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7"/>
                <w:szCs w:val="17"/>
                <w:color w:val="auto"/>
                <w:w w:val="99"/>
              </w:rPr>
              <w:t>Hard</w:t>
            </w:r>
          </w:p>
        </w:tc>
        <w:tc>
          <w:tcPr>
            <w:tcW w:w="280" w:type="dxa"/>
            <w:vAlign w:val="bottom"/>
          </w:tcPr>
          <w:p>
            <w:pPr>
              <w:spacing w:after="0"/>
              <w:rPr>
                <w:sz w:val="13"/>
                <w:szCs w:val="13"/>
                <w:color w:val="auto"/>
              </w:rPr>
            </w:pPr>
          </w:p>
        </w:tc>
        <w:tc>
          <w:tcPr>
            <w:tcW w:w="14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color w:val="auto"/>
                <w:w w:val="98"/>
              </w:rPr>
              <w:t>Iron</w:t>
            </w:r>
          </w:p>
        </w:tc>
        <w:tc>
          <w:tcPr>
            <w:tcW w:w="300" w:type="dxa"/>
            <w:vAlign w:val="bottom"/>
          </w:tcPr>
          <w:p>
            <w:pPr>
              <w:spacing w:after="0"/>
              <w:rPr>
                <w:sz w:val="13"/>
                <w:szCs w:val="13"/>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w w:val="99"/>
              </w:rPr>
              <w:t>WTI</w:t>
            </w:r>
          </w:p>
        </w:tc>
        <w:tc>
          <w:tcPr>
            <w:tcW w:w="320" w:type="dxa"/>
            <w:vAlign w:val="bottom"/>
          </w:tcPr>
          <w:p>
            <w:pPr>
              <w:spacing w:after="0"/>
              <w:rPr>
                <w:sz w:val="13"/>
                <w:szCs w:val="13"/>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7"/>
                <w:szCs w:val="17"/>
                <w:color w:val="auto"/>
                <w:w w:val="97"/>
              </w:rPr>
              <w:t>WCS</w:t>
            </w: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Coking Coal</w:t>
            </w:r>
          </w:p>
        </w:tc>
        <w:tc>
          <w:tcPr>
            <w:tcW w:w="2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7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7"/>
                <w:szCs w:val="17"/>
                <w:color w:val="auto"/>
              </w:rPr>
              <w:t>Quarter</w:t>
            </w:r>
          </w:p>
        </w:tc>
        <w:tc>
          <w:tcPr>
            <w:tcW w:w="220" w:type="dxa"/>
            <w:vAlign w:val="bottom"/>
          </w:tcPr>
          <w:p>
            <w:pPr>
              <w:spacing w:after="0"/>
              <w:rPr>
                <w:sz w:val="15"/>
                <w:szCs w:val="15"/>
                <w:color w:val="auto"/>
              </w:rPr>
            </w:pPr>
          </w:p>
        </w:tc>
        <w:tc>
          <w:tcPr>
            <w:tcW w:w="148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7"/>
                <w:szCs w:val="17"/>
                <w:color w:val="auto"/>
              </w:rPr>
              <w:t>(Met Coal)</w:t>
            </w:r>
          </w:p>
        </w:tc>
        <w:tc>
          <w:tcPr>
            <w:tcW w:w="280" w:type="dxa"/>
            <w:vAlign w:val="bottom"/>
          </w:tcPr>
          <w:p>
            <w:pPr>
              <w:spacing w:after="0"/>
              <w:rPr>
                <w:sz w:val="15"/>
                <w:szCs w:val="15"/>
                <w:color w:val="auto"/>
              </w:rPr>
            </w:pPr>
          </w:p>
        </w:tc>
        <w:tc>
          <w:tcPr>
            <w:tcW w:w="146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7"/>
                <w:szCs w:val="17"/>
                <w:color w:val="auto"/>
                <w:w w:val="93"/>
              </w:rPr>
              <w:t>Ore</w:t>
            </w:r>
          </w:p>
        </w:tc>
        <w:tc>
          <w:tcPr>
            <w:tcW w:w="300" w:type="dxa"/>
            <w:vAlign w:val="bottom"/>
          </w:tcPr>
          <w:p>
            <w:pPr>
              <w:spacing w:after="0"/>
              <w:rPr>
                <w:sz w:val="15"/>
                <w:szCs w:val="15"/>
                <w:color w:val="auto"/>
              </w:rPr>
            </w:pPr>
          </w:p>
        </w:tc>
        <w:tc>
          <w:tcPr>
            <w:tcW w:w="142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7"/>
                <w:szCs w:val="17"/>
                <w:color w:val="auto"/>
              </w:rPr>
              <w:t>Crude</w:t>
            </w:r>
          </w:p>
        </w:tc>
        <w:tc>
          <w:tcPr>
            <w:tcW w:w="320" w:type="dxa"/>
            <w:vAlign w:val="bottom"/>
          </w:tcPr>
          <w:p>
            <w:pPr>
              <w:spacing w:after="0"/>
              <w:rPr>
                <w:sz w:val="15"/>
                <w:szCs w:val="15"/>
                <w:color w:val="auto"/>
              </w:rPr>
            </w:pPr>
          </w:p>
        </w:tc>
        <w:tc>
          <w:tcPr>
            <w:tcW w:w="1420" w:type="dxa"/>
            <w:vAlign w:val="bottom"/>
            <w:gridSpan w:val="2"/>
          </w:tcPr>
          <w:p>
            <w:pPr>
              <w:jc w:val="center"/>
              <w:ind w:right="420"/>
              <w:spacing w:after="0" w:line="180" w:lineRule="exact"/>
              <w:rPr>
                <w:sz w:val="20"/>
                <w:szCs w:val="20"/>
                <w:color w:val="auto"/>
              </w:rPr>
            </w:pPr>
            <w:r>
              <w:rPr>
                <w:rFonts w:ascii="Times New Roman" w:cs="Times New Roman" w:eastAsia="Times New Roman" w:hAnsi="Times New Roman"/>
                <w:sz w:val="17"/>
                <w:szCs w:val="17"/>
                <w:color w:val="auto"/>
                <w:w w:val="96"/>
              </w:rPr>
              <w:t>Crude</w:t>
            </w:r>
          </w:p>
        </w:tc>
        <w:tc>
          <w:tcPr>
            <w:tcW w:w="0" w:type="dxa"/>
            <w:vAlign w:val="bottom"/>
          </w:tcPr>
          <w:p>
            <w:pPr>
              <w:spacing w:after="0"/>
              <w:rPr>
                <w:sz w:val="1"/>
                <w:szCs w:val="1"/>
                <w:color w:val="auto"/>
              </w:rPr>
            </w:pPr>
          </w:p>
        </w:tc>
      </w:tr>
      <w:tr>
        <w:trPr>
          <w:trHeight w:val="218"/>
        </w:trPr>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ended</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(per tonne)</w:t>
            </w:r>
          </w:p>
        </w:tc>
        <w:tc>
          <w:tcPr>
            <w:tcW w:w="28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(per tonne)</w:t>
            </w: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 bbl)</w:t>
            </w:r>
          </w:p>
        </w:tc>
        <w:tc>
          <w:tcPr>
            <w:tcW w:w="32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(per bbl)</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First Quarter through February 26, 2026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237.01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62.24</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242.93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12/31/2023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9/30/2023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6/30/2023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3/31/2023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780" w:right="260" w:hanging="317"/>
        <w:spacing w:after="0" w:line="228" w:lineRule="auto"/>
        <w:tabs>
          <w:tab w:leader="none" w:pos="768"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Source: Hard coking coal prices are from IHS Markit, iron ore prices and WCS crude prices are from Bloomberg and WTI crude prices are from U.S. Energy Information Administration.</w:t>
      </w:r>
    </w:p>
    <w:p>
      <w:pPr>
        <w:spacing w:after="0" w:line="195" w:lineRule="exact"/>
        <w:rPr>
          <w:sz w:val="20"/>
          <w:szCs w:val="20"/>
          <w:color w:val="auto"/>
        </w:rPr>
      </w:pPr>
    </w:p>
    <w:p>
      <w:pPr>
        <w:jc w:val="both"/>
        <w:ind w:firstLine="461"/>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Met Coal. </w:t>
      </w:r>
      <w:r>
        <w:rPr>
          <w:rFonts w:ascii="Times New Roman" w:cs="Times New Roman" w:eastAsia="Times New Roman" w:hAnsi="Times New Roman"/>
          <w:sz w:val="17"/>
          <w:szCs w:val="17"/>
          <w:color w:val="auto"/>
        </w:rPr>
        <w:t>In Australia, 86% of our Australian owned rooms are located in the Bowen Basin of Queensland, Australia and primarily serve met coal mines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region. Met coal pricing and production growth in the Bowen Basin region is predominantly influenced by the level of global steel production which remained subdued with quarterly year-over-year declines in each quarter of 2025. China, Europe and Japan all experienced declines in steel production in 2025, while India and the U.S. continue to see consistent positive growth over the same period. Global tariff changes, recession fears and associated business uncertainty are weighing on current and short-term global steel production. Global steel production during 2025 decreased by 2% compared with 2024.</w:t>
      </w:r>
    </w:p>
    <w:p>
      <w:pPr>
        <w:spacing w:after="0" w:line="203" w:lineRule="exact"/>
        <w:rPr>
          <w:sz w:val="20"/>
          <w:szCs w:val="20"/>
          <w:color w:val="auto"/>
        </w:rPr>
      </w:pPr>
    </w:p>
    <w:p>
      <w:pPr>
        <w:jc w:val="both"/>
        <w:ind w:firstLine="461"/>
        <w:spacing w:after="0" w:line="246" w:lineRule="auto"/>
        <w:rPr>
          <w:sz w:val="20"/>
          <w:szCs w:val="20"/>
          <w:color w:val="auto"/>
        </w:rPr>
      </w:pPr>
      <w:r>
        <w:rPr>
          <w:rFonts w:ascii="Times New Roman" w:cs="Times New Roman" w:eastAsia="Times New Roman" w:hAnsi="Times New Roman"/>
          <w:sz w:val="17"/>
          <w:szCs w:val="17"/>
          <w:color w:val="auto"/>
        </w:rPr>
        <w:t>Met coal prices have remained between $169 and $217 per tonne during 2025, since dropping below $200 per tonne in late 2024. Early in the fourth quarter of 2025 met coal prices remained between $187 and $200 per tonne and increased progressively in December to end 2025 at $216 per tonne. Despite weaker steel production in late 2025, the rally in prices in December 2025 is the result of limited short-term spot market supply. As of February 26, 2026, met coal spot prices were $235.45 per tonne.</w:t>
      </w:r>
    </w:p>
    <w:p>
      <w:pPr>
        <w:spacing w:after="0" w:line="197" w:lineRule="exact"/>
        <w:rPr>
          <w:sz w:val="20"/>
          <w:szCs w:val="20"/>
          <w:color w:val="auto"/>
        </w:rPr>
      </w:pPr>
    </w:p>
    <w:p>
      <w:pPr>
        <w:jc w:val="both"/>
        <w:ind w:firstLine="461"/>
        <w:spacing w:after="0" w:line="243" w:lineRule="auto"/>
        <w:rPr>
          <w:sz w:val="20"/>
          <w:szCs w:val="20"/>
          <w:color w:val="auto"/>
        </w:rPr>
      </w:pPr>
      <w:r>
        <w:rPr>
          <w:rFonts w:ascii="Times New Roman" w:cs="Times New Roman" w:eastAsia="Times New Roman" w:hAnsi="Times New Roman"/>
          <w:sz w:val="17"/>
          <w:szCs w:val="17"/>
          <w:color w:val="auto"/>
        </w:rPr>
        <w:t>With the lower met coal price environment persisting into the early part of the fourth quarter of 2025, producers continued to re-evaluate their production levels and costs. In late September 2025, several large and mid-tier producers in Queensland, Australia reported making production cuts and workforce reductions in response to pressure on operating margins. While there has been an increase in prices in late 2025, with prospective met coal supply expected to enter the market from both Australia and the U.S. in 2026, downward pressure on prices towards $200 are forecast in early 2026. Such improvements in the supply and demand fundamentals for met coal may further be impacted by ongoing geopolitical tensions associated with global tariffs and trade agreements.</w:t>
      </w:r>
    </w:p>
    <w:p>
      <w:pPr>
        <w:spacing w:after="0" w:line="195"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Iron Ore. </w:t>
      </w:r>
      <w:r>
        <w:rPr>
          <w:rFonts w:ascii="Times New Roman" w:cs="Times New Roman" w:eastAsia="Times New Roman" w:hAnsi="Times New Roman"/>
          <w:sz w:val="17"/>
          <w:szCs w:val="17"/>
          <w:color w:val="auto"/>
        </w:rPr>
        <w:t>Iron ore prices declined to average $96.79 per tonne during 2025, down from the 2024 average of $103.77 per tonne, primarily driven by demand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steel producer restocking activity. Iron ore supply late in 2025 strengthened due to</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9" w:name="page50"/>
    <w:bookmarkEnd w:id="49"/>
    <w:p>
      <w:pPr>
        <w:jc w:val="both"/>
        <w:spacing w:after="0" w:line="252" w:lineRule="auto"/>
        <w:rPr>
          <w:sz w:val="20"/>
          <w:szCs w:val="20"/>
          <w:color w:val="auto"/>
        </w:rPr>
      </w:pPr>
      <w:r>
        <w:rPr>
          <w:rFonts w:ascii="Times New Roman" w:cs="Times New Roman" w:eastAsia="Times New Roman" w:hAnsi="Times New Roman"/>
          <w:sz w:val="17"/>
          <w:szCs w:val="17"/>
          <w:color w:val="auto"/>
        </w:rPr>
        <w:t>favorable weather conditions in Brazil and is expected to strengthen further with additional supply coming to the market in early 2026. During the fourth quarter of 2025 prices remained buoyant between $99 and $106 despite weaker steel production and increasing market supply. As further supply continues to enter the market in 2026, downward pressure on prices is forecast.</w:t>
      </w:r>
    </w:p>
    <w:p>
      <w:pPr>
        <w:spacing w:after="0" w:line="6" w:lineRule="exact"/>
        <w:rPr>
          <w:sz w:val="20"/>
          <w:szCs w:val="20"/>
          <w:color w:val="auto"/>
        </w:rPr>
      </w:pPr>
    </w:p>
    <w:p>
      <w:pPr>
        <w:jc w:val="both"/>
        <w:ind w:firstLine="4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WTI Crude. </w:t>
      </w:r>
      <w:r>
        <w:rPr>
          <w:rFonts w:ascii="Times New Roman" w:cs="Times New Roman" w:eastAsia="Times New Roman" w:hAnsi="Times New Roman"/>
          <w:sz w:val="17"/>
          <w:szCs w:val="17"/>
          <w:color w:val="auto"/>
        </w:rPr>
        <w:t>In an effort to retain and recapture global market share, OPEC+ began reversing previously implemented production cuts at the beginning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second quarter of 2025 and continuing through the fourth quarter of 2025, increasing production despite softer global demand for oil. The combined impact of these factors reduced WTI prices, which are down approximately 25% through the end of 2025 as compared to the end of 2024. Forecasts currently have oil prices averaging below $60.00 per barrel in 2026. In light of this macroeconomic backdrop, our Canadian oil sands customers are increasingly prioritizing capital discipline, pushing for lower operating costs and headcount reductions.</w:t>
      </w:r>
    </w:p>
    <w:p>
      <w:pPr>
        <w:spacing w:after="0" w:line="179" w:lineRule="exact"/>
        <w:rPr>
          <w:sz w:val="20"/>
          <w:szCs w:val="20"/>
          <w:color w:val="auto"/>
        </w:rPr>
      </w:pPr>
    </w:p>
    <w:p>
      <w:pPr>
        <w:jc w:val="both"/>
        <w:ind w:firstLine="461"/>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WCS Crude. </w:t>
      </w:r>
      <w:r>
        <w:rPr>
          <w:rFonts w:ascii="Times New Roman" w:cs="Times New Roman" w:eastAsia="Times New Roman" w:hAnsi="Times New Roman"/>
          <w:sz w:val="17"/>
          <w:szCs w:val="17"/>
          <w:color w:val="auto"/>
        </w:rPr>
        <w:t>In Canada, WCS crude is the benchmark price for our oil sands customers. Pricing for WCS is driven by several factors, including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underlying price for WTI crude, the availability of transportation infrastructure (consisting of pipelines and crude by railcar), refinery blending requirements and governmental regulation. Historically, WCS has traded at a discount to WTI, creating a “WCS Differential,” due to transportation costs and export capacity limitations to move Canadian heavy oil production to refineries, primarily along the U.S. Gulf Coast. As a result of the U.S. government’s recent takeover of the Venezuelan oil production, there is a new a concern that Venezuelan heavy crude may displace refinery demand for Canadian heavy crude on the U.S. Gulf Coast.</w:t>
      </w:r>
    </w:p>
    <w:p>
      <w:pPr>
        <w:spacing w:after="0" w:line="109"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WCS prices in the fourth quarter of 2025 averaged $46.73 per barrel compared to an average of $57.50 in the fourth quarter of 2024. The WCS Differential decreased from $12.92 per barrel at the end of the fourth quarter of 2024 to $12.50 at the end of the fourth quarter of 2025. Further, the U.S. administration implemented and amended several new tariffs during 2025. Implementation of tariffs on oil from Canada could have an adverse impact on our Canadian customers profit margins, which may in turn reduce their spending on our accommodations and services.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w:t>
      </w:r>
    </w:p>
    <w:p>
      <w:pPr>
        <w:spacing w:after="0" w:line="148" w:lineRule="exact"/>
        <w:rPr>
          <w:sz w:val="20"/>
          <w:szCs w:val="20"/>
          <w:color w:val="auto"/>
        </w:rPr>
      </w:pPr>
    </w:p>
    <w:p>
      <w:pPr>
        <w:jc w:val="both"/>
        <w:ind w:firstLine="46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Qantac Acquisition</w:t>
      </w:r>
      <w:r>
        <w:rPr>
          <w:rFonts w:ascii="Times New Roman" w:cs="Times New Roman" w:eastAsia="Times New Roman" w:hAnsi="Times New Roman"/>
          <w:sz w:val="17"/>
          <w:szCs w:val="17"/>
          <w:color w:val="auto"/>
        </w:rPr>
        <w:t>. On May 6, 2025, we completed the Qantac Acquisition located in Queensland, Australia, which included four villages with 1,368 rooms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Australia’s Bowen Basin and the associated accommodation assets, land and customer contracts. See Note 19. Asset Acquisition to the notes to the consolidated financial statements in Item 8 of this annual report for further discussion.</w:t>
      </w:r>
    </w:p>
    <w:p>
      <w:pPr>
        <w:spacing w:after="0" w:line="81" w:lineRule="exact"/>
        <w:rPr>
          <w:sz w:val="20"/>
          <w:szCs w:val="20"/>
          <w:color w:val="auto"/>
        </w:rPr>
      </w:pPr>
    </w:p>
    <w:p>
      <w:pPr>
        <w:jc w:val="both"/>
        <w:ind w:firstLine="4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Inflationary Pressures. </w:t>
      </w:r>
      <w:r>
        <w:rPr>
          <w:rFonts w:ascii="Times New Roman" w:cs="Times New Roman" w:eastAsia="Times New Roman" w:hAnsi="Times New Roman"/>
          <w:sz w:val="17"/>
          <w:szCs w:val="17"/>
          <w:color w:val="auto"/>
        </w:rPr>
        <w:t>Since 2023, price increases resulting from pandemic-related inflation and supply chain concerns have, and are expected to continue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have, a negative impact on our labor and food costs, as well as consumable costs such as fuel. Lingering inflation from the pandemic has recently been exacerbated by changes to global tariffs and trade policies. We are managing inflation risk with negotiated service scope changes and contractual protections. Although inflation resulting from global tariffs implemented or threatened by the U.S. administration, and the resulting retaliations by its trading partners, did not materially impact our cost structure in 2025, concerns remain that inflationary pressures could return in the future.</w:t>
      </w:r>
    </w:p>
    <w:p>
      <w:pPr>
        <w:spacing w:after="0" w:line="102"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Labor Shortages. </w:t>
      </w:r>
      <w:r>
        <w:rPr>
          <w:rFonts w:ascii="Times New Roman" w:cs="Times New Roman" w:eastAsia="Times New Roman" w:hAnsi="Times New Roman"/>
          <w:sz w:val="17"/>
          <w:szCs w:val="17"/>
          <w:color w:val="auto"/>
        </w:rPr>
        <w:t>In addition to the macro inflationary impacts on labor costs noted above, we continue to be impacted by increased staff costs as a result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hospitality labor shortages in Australia. Australia’s labor market remains historically tight, with unemployment holding just above 4% and job mobility (movement of workers between different employers or businesses) at its lowest in 30 years. A persistent overhang of vacancies continues to constrain recruitment, while government stimulus has disproportionately driven job growth in healthcare, aged care, education and public services. Despite easing inflation, regulated labor costs remain high, with the Fair Work Commission decisions pushing wage increases well above Consumer Price Index changes, and statutory increases in superannuation, workers’ compensation and payroll tax are further inflating total labor costs. For hospitality, this combination of scarce labor supply, competition from government-funded sectors and rising employment costs creates sustained pressure on staffing productivity and availability.</w:t>
      </w:r>
    </w:p>
    <w:p>
      <w:pPr>
        <w:spacing w:after="0" w:line="194" w:lineRule="exact"/>
        <w:rPr>
          <w:sz w:val="20"/>
          <w:szCs w:val="20"/>
          <w:color w:val="auto"/>
        </w:rPr>
      </w:pPr>
    </w:p>
    <w:p>
      <w:pPr>
        <w:jc w:val="both"/>
        <w:ind w:firstLine="4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LNG. </w:t>
      </w:r>
      <w:r>
        <w:rPr>
          <w:rFonts w:ascii="Times New Roman" w:cs="Times New Roman" w:eastAsia="Times New Roman" w:hAnsi="Times New Roman"/>
          <w:sz w:val="17"/>
          <w:szCs w:val="17"/>
          <w:color w:val="auto"/>
        </w:rPr>
        <w:t>Our Sitka Lodge supports the LNG Canada (LNGC) project and related pipeline projects (specifically, the Coastal GasLink Pipeline, the pipeline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constructed to transport natural gas feedstock to LNGC). Construction activity of Phase 1 of the Kitimat LNG Facility has been completed and commercial operations commenced at the end of June 2025. The Coastal GasLink Pipeline was completed in 2024. As such, we expect continued lower occupancy at our Sitka Lodge in the near-term until subsequent phases of the LNGC project are approved and commence, or additional construction activity in the region, drive increased occupancy demand.</w:t>
      </w:r>
    </w:p>
    <w:p>
      <w:pPr>
        <w:spacing w:after="0" w:line="19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From a macroeconomic standpoint, LNG demand has continued to grow, reinforcing the need for the global LNG industry to expand access to natural gas. Evolving government energy policies around the world have amplified support for cleaner energy supply, creating more opportunities for natural gas and LNG. The conflicts between Russia/Ukraine and in the Middle East have further highlighted the need for secure natural gas supply globally, particularly in Europe. Accordingly, we expect additional investment in LNG supply will be needed to meet the resulting expected long-term LNG demand growth.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50" w:name="page51"/>
    <w:bookmarkEnd w:id="50"/>
    <w:p>
      <w:pPr>
        <w:jc w:val="both"/>
        <w:ind w:firstLine="46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United States Business. </w:t>
      </w:r>
      <w:r>
        <w:rPr>
          <w:rFonts w:ascii="Times New Roman" w:cs="Times New Roman" w:eastAsia="Times New Roman" w:hAnsi="Times New Roman"/>
          <w:sz w:val="17"/>
          <w:szCs w:val="17"/>
          <w:color w:val="auto"/>
        </w:rPr>
        <w:t>In the first quarter of 2023, we sold our accommodation assets in Louisiana, and in the second quarter of 2024, we sold the land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Louisiana location. Our remaining U.S. business, which supported completion activity in the Bakken, was closed in the fourth quarter of 2024 due to low activity levels.</w:t>
      </w:r>
    </w:p>
    <w:p>
      <w:pPr>
        <w:spacing w:after="0" w:line="183"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Foreign Currency Exchange Rates. </w:t>
      </w:r>
      <w:r>
        <w:rPr>
          <w:rFonts w:ascii="Times New Roman" w:cs="Times New Roman" w:eastAsia="Times New Roman" w:hAnsi="Times New Roman"/>
          <w:sz w:val="17"/>
          <w:szCs w:val="17"/>
          <w:color w:val="auto"/>
        </w:rPr>
        <w:t>Exchange rates between the U.S. dollar and each of the Australian dollar and the Canadian dollar influence our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dollar reported financial results. Our business has historically derived the vast majority of its revenues and operating income (loss) in Australia and Canada. These revenues and profits/losses are translated into U.S. dollars for financial reporting purposes under U.S. generally accepted accounting principles. The following summarizes the fluctuations in the exchange rates between the U.S. dollar and each of the Australian dollar and the Canadian dollar:</w:t>
      </w:r>
    </w:p>
    <w:p>
      <w:pPr>
        <w:spacing w:after="0" w:line="89" w:lineRule="exact"/>
        <w:rPr>
          <w:sz w:val="20"/>
          <w:szCs w:val="20"/>
          <w:color w:val="auto"/>
        </w:rPr>
      </w:pPr>
    </w:p>
    <w:tbl>
      <w:tblPr>
        <w:tblLayout w:type="fixed"/>
        <w:tblInd w:w="960" w:type="dxa"/>
        <w:tblCellMar>
          <w:top w:w="0" w:type="dxa"/>
          <w:left w:w="0" w:type="dxa"/>
          <w:bottom w:w="0" w:type="dxa"/>
          <w:right w:w="0" w:type="dxa"/>
        </w:tblCellMar>
      </w:tblPr>
      <w:tr>
        <w:trPr>
          <w:trHeight w:val="225"/>
        </w:trPr>
        <w:tc>
          <w:tcPr>
            <w:tcW w:w="5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r>
      <w:tr>
        <w:trPr>
          <w:trHeight w:val="210"/>
        </w:trPr>
        <w:tc>
          <w:tcPr>
            <w:tcW w:w="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ind w:left="5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34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r>
      <w:tr>
        <w:trPr>
          <w:trHeight w:val="210"/>
        </w:trPr>
        <w:tc>
          <w:tcPr>
            <w:tcW w:w="3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Average Australian dollar to U.S. dollar</w:t>
            </w:r>
          </w:p>
        </w:tc>
        <w:tc>
          <w:tcPr>
            <w:tcW w:w="13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$0.645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$0.660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(0.015)</w:t>
            </w: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top w:val="single" w:sz="8" w:color="auto"/>
            </w:tcBorders>
            <w:shd w:val="clear" w:color="auto" w:fill="CCEEFF"/>
          </w:tcPr>
          <w:p>
            <w:pPr>
              <w:spacing w:after="0"/>
              <w:rPr>
                <w:sz w:val="18"/>
                <w:szCs w:val="18"/>
                <w:color w:val="auto"/>
              </w:rPr>
            </w:pPr>
          </w:p>
        </w:tc>
      </w:tr>
      <w:tr>
        <w:trPr>
          <w:trHeight w:val="222"/>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Average Canadian dollar to U.S. dollar</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$0.716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$0.730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(0.015)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r>
      <w:tr>
        <w:trPr>
          <w:trHeight w:val="316"/>
        </w:trPr>
        <w:tc>
          <w:tcPr>
            <w:tcW w:w="5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8"/>
          </w:tcPr>
          <w:p>
            <w:pPr>
              <w:ind w:left="62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12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Australian dollar to U.S. dollar</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$0.667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0.048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Canadian dollar to U.S. dollar</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0.035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rPr>
              <w:t>5.0%</w:t>
            </w:r>
          </w:p>
        </w:tc>
        <w:tc>
          <w:tcPr>
            <w:tcW w:w="120" w:type="dxa"/>
            <w:vAlign w:val="bottom"/>
          </w:tcPr>
          <w:p>
            <w:pPr>
              <w:spacing w:after="0"/>
              <w:rPr>
                <w:sz w:val="19"/>
                <w:szCs w:val="19"/>
                <w:color w:val="auto"/>
              </w:rPr>
            </w:pPr>
          </w:p>
        </w:tc>
      </w:tr>
    </w:tbl>
    <w:p>
      <w:pPr>
        <w:spacing w:after="0" w:line="299"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These fluctuations of the Australian and Canadian dollars have had and will continue to have an impact on the translation of earnings generated from our Australian and Canadian subsidiaries and, therefore, our financial results.</w:t>
      </w:r>
    </w:p>
    <w:p>
      <w:pPr>
        <w:spacing w:after="0" w:line="172"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Capital Expenditures. </w:t>
      </w:r>
      <w:r>
        <w:rPr>
          <w:rFonts w:ascii="Times New Roman" w:cs="Times New Roman" w:eastAsia="Times New Roman" w:hAnsi="Times New Roman"/>
          <w:sz w:val="17"/>
          <w:szCs w:val="17"/>
          <w:color w:val="auto"/>
        </w:rPr>
        <w:t>We continue to monitor the global economy, commodity prices, demand for met coal, oil, iron ore and LNG, inflation, trade policy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the resultant impact on the capital spending plans of our customers in order to plan our business activities. We currently expect that our 2026 capital expenditures will be in the range of approximately $25 million to $30 million, of which $20 million is anticipated to relate to maintenance and $10 million related to growth and strategic initiatives, including investments in information technology infrastructure to support our business. This compares to 2025 capital expenditures of $20.2 million, of which $11.2 million is associated with maintenance and $9.0 million related to growth projects, including the reactivation of our Buffalo Lodge in Canada and Wi-Fi infrastructure improvements in Australia. We may adjust our capital expenditure plans in the future as we continue to monitor customer activity.</w:t>
      </w:r>
    </w:p>
    <w:p>
      <w:pPr>
        <w:spacing w:after="0" w:line="200" w:lineRule="exact"/>
        <w:rPr>
          <w:sz w:val="20"/>
          <w:szCs w:val="20"/>
          <w:color w:val="auto"/>
        </w:rPr>
      </w:pP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“Liquidity and Capital Resources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below for further discussion on 2026 and 2025 capital expenditures.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7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Unless otherwise indicated, discussion of results for the year ended December 31, 2025 is based on a comparison with the corresponding period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Operations – Year Ended December 31, 2025 Compared to Year Ended December 31, 2024</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4"/>
        </w:trPr>
        <w:tc>
          <w:tcPr>
            <w:tcW w:w="5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180"/>
        </w:trPr>
        <w:tc>
          <w:tcPr>
            <w:tcW w:w="50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9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6"/>
        </w:trPr>
        <w:tc>
          <w:tcPr>
            <w:tcW w:w="5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
        </w:trPr>
        <w:tc>
          <w:tcPr>
            <w:tcW w:w="5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2"/>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4"/>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Australia</w:t>
            </w:r>
          </w:p>
        </w:tc>
        <w:tc>
          <w:tcPr>
            <w:tcW w:w="400" w:type="dxa"/>
            <w:vAlign w:val="bottom"/>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460,295</w:t>
            </w:r>
          </w:p>
        </w:tc>
        <w:tc>
          <w:tcPr>
            <w:tcW w:w="100" w:type="dxa"/>
            <w:vAlign w:val="bottom"/>
          </w:tcPr>
          <w:p>
            <w:pPr>
              <w:spacing w:after="0"/>
              <w:rPr>
                <w:sz w:val="15"/>
                <w:szCs w:val="15"/>
                <w:color w:val="auto"/>
              </w:rPr>
            </w:pPr>
          </w:p>
        </w:tc>
        <w:tc>
          <w:tcPr>
            <w:tcW w:w="54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426,956</w:t>
            </w:r>
          </w:p>
        </w:tc>
        <w:tc>
          <w:tcPr>
            <w:tcW w:w="10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33,339</w:t>
            </w:r>
          </w:p>
        </w:tc>
      </w:tr>
      <w:tr>
        <w:trPr>
          <w:trHeight w:val="20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Canada</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245,087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(66,533)</w:t>
            </w:r>
          </w:p>
        </w:tc>
      </w:tr>
      <w:tr>
        <w:trPr>
          <w:trHeight w:val="185"/>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10,079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(10,079)</w:t>
            </w:r>
          </w:p>
        </w:tc>
      </w:tr>
      <w:tr>
        <w:trPr>
          <w:trHeight w:val="192"/>
        </w:trPr>
        <w:tc>
          <w:tcPr>
            <w:tcW w:w="50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revenues</w:t>
            </w:r>
          </w:p>
        </w:tc>
        <w:tc>
          <w:tcPr>
            <w:tcW w:w="4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638,849</w:t>
            </w: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682,122</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(43,273)</w:t>
            </w:r>
          </w:p>
        </w:tc>
      </w:tr>
      <w:tr>
        <w:trPr>
          <w:trHeight w:val="184"/>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Costs and expenses</w:t>
            </w: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0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Cost of sales and services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4"/>
        </w:trPr>
        <w:tc>
          <w:tcPr>
            <w:tcW w:w="5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Australia</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339,457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315,374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24,083</w:t>
            </w:r>
          </w:p>
        </w:tc>
      </w:tr>
      <w:tr>
        <w:trPr>
          <w:trHeight w:val="200"/>
        </w:trPr>
        <w:tc>
          <w:tcPr>
            <w:tcW w:w="5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Canada</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147,991</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207,135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(59,144)</w:t>
            </w:r>
          </w:p>
        </w:tc>
      </w:tr>
      <w:tr>
        <w:trPr>
          <w:trHeight w:val="185"/>
        </w:trPr>
        <w:tc>
          <w:tcPr>
            <w:tcW w:w="50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Other</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10,158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(9,845)</w:t>
            </w:r>
          </w:p>
        </w:tc>
      </w:tr>
      <w:tr>
        <w:trPr>
          <w:trHeight w:val="192"/>
        </w:trPr>
        <w:tc>
          <w:tcPr>
            <w:tcW w:w="50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487,761</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532,667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(44,906)</w:t>
            </w:r>
          </w:p>
        </w:tc>
      </w:tr>
      <w:tr>
        <w:trPr>
          <w:trHeight w:val="184"/>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75,342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73,350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w:t>
            </w:r>
          </w:p>
        </w:tc>
      </w:tr>
      <w:tr>
        <w:trPr>
          <w:trHeight w:val="20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72,618</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68,038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4,580</w:t>
            </w:r>
          </w:p>
        </w:tc>
      </w:tr>
      <w:tr>
        <w:trPr>
          <w:trHeight w:val="184"/>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expense</w:t>
            </w:r>
          </w:p>
        </w:tc>
        <w:tc>
          <w:tcPr>
            <w:tcW w:w="4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11,581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(11,581)</w:t>
            </w:r>
          </w:p>
        </w:tc>
      </w:tr>
      <w:tr>
        <w:trPr>
          <w:trHeight w:val="200"/>
        </w:trPr>
        <w:tc>
          <w:tcPr>
            <w:tcW w:w="5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on sale of McClelland Lake Lodge assets, net</w:t>
            </w:r>
          </w:p>
        </w:tc>
        <w:tc>
          <w:tcPr>
            <w:tcW w:w="4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w:t>
            </w:r>
          </w:p>
        </w:tc>
      </w:tr>
      <w:tr>
        <w:trPr>
          <w:trHeight w:val="185"/>
        </w:trPr>
        <w:tc>
          <w:tcPr>
            <w:tcW w:w="5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operating (income) expense</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(1,885)</w:t>
            </w:r>
          </w:p>
        </w:tc>
      </w:tr>
      <w:tr>
        <w:trPr>
          <w:trHeight w:val="192"/>
        </w:trPr>
        <w:tc>
          <w:tcPr>
            <w:tcW w:w="5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634,734</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680,790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w:t>
            </w:r>
          </w:p>
        </w:tc>
      </w:tr>
      <w:tr>
        <w:trPr>
          <w:trHeight w:val="177"/>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w:t>
            </w:r>
          </w:p>
        </w:tc>
      </w:tr>
      <w:tr>
        <w:trPr>
          <w:trHeight w:val="213"/>
        </w:trPr>
        <w:tc>
          <w:tcPr>
            <w:tcW w:w="5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4"/>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r>
      <w:tr>
        <w:trPr>
          <w:trHeight w:val="177"/>
        </w:trPr>
        <w:tc>
          <w:tcPr>
            <w:tcW w:w="5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before income tax</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r>
      <w:tr>
        <w:trPr>
          <w:trHeight w:val="20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(13,620)</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r>
      <w:tr>
        <w:trPr>
          <w:trHeight w:val="177"/>
        </w:trPr>
        <w:tc>
          <w:tcPr>
            <w:tcW w:w="50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r>
      <w:tr>
        <w:trPr>
          <w:trHeight w:val="193"/>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Net loss attributable to noncontrolling interest</w:t>
            </w:r>
          </w:p>
        </w:tc>
        <w:tc>
          <w:tcPr>
            <w:tcW w:w="40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r>
      <w:tr>
        <w:trPr>
          <w:trHeight w:val="19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Civeo Corporation</w:t>
            </w:r>
          </w:p>
        </w:tc>
        <w:tc>
          <w:tcPr>
            <w:tcW w:w="4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w:t>
            </w:r>
          </w:p>
        </w:tc>
      </w:tr>
      <w:tr>
        <w:trPr>
          <w:trHeight w:val="20"/>
        </w:trPr>
        <w:tc>
          <w:tcPr>
            <w:tcW w:w="5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reported net loss attributable to Civeo for 2025 of $20.1 million, or $1.59 per diluted share. As further discussed below, net loss included $5.5 million of shareholder activist related costs and $2.2 million of cost saving initiatives in Canada related to severance, two lodge closures and other real estate rationalization efforts.</w:t>
      </w:r>
    </w:p>
    <w:p>
      <w:pPr>
        <w:spacing w:after="0" w:line="19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reported net loss attributable to Civeo for 2024 of $17.1 million, or $1.19 per diluted share. As further discussed below, net loss included $5.7 million of net gains associated with the sale of McClelland Lake Lodge in Canada and a $11.6 million pre-tax loss resulting from the impairment of fixed assets included in Impairment expense.</w:t>
      </w:r>
    </w:p>
    <w:p>
      <w:pPr>
        <w:spacing w:after="0" w:line="163"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Revenues. </w:t>
      </w:r>
      <w:r>
        <w:rPr>
          <w:rFonts w:ascii="Times New Roman" w:cs="Times New Roman" w:eastAsia="Times New Roman" w:hAnsi="Times New Roman"/>
          <w:sz w:val="17"/>
          <w:szCs w:val="17"/>
          <w:color w:val="auto"/>
        </w:rPr>
        <w:t>Consolidated revenues decreased $43.3 million, or 6%, in 2025 compared to 2024. This decrease was primarily driven by (i) lower billed rooms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oil sands lodges in Canada as producers in the region remain focused on reducing operating costs, (ii) reduced occupancy at our Sitka Lodge in Canada beginning in the third quarter of 2024 as the Kitimat LNG facility was nearing completion and subsequently commenced operations in the second quarter of 2025,</w:t>
      </w:r>
    </w:p>
    <w:p>
      <w:pPr>
        <w:spacing w:after="0" w:line="1" w:lineRule="exact"/>
        <w:rPr>
          <w:sz w:val="20"/>
          <w:szCs w:val="20"/>
          <w:color w:val="auto"/>
        </w:rPr>
      </w:pPr>
    </w:p>
    <w:p>
      <w:pPr>
        <w:jc w:val="both"/>
        <w:ind w:firstLine="2"/>
        <w:spacing w:after="0" w:line="255" w:lineRule="auto"/>
        <w:tabs>
          <w:tab w:leader="none" w:pos="3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food service and other services revenue in Canada as client maintenance work in 2024 did not recur to the same extent in 2025 and (iv) a weaker Australian and Canadian dollar relative to the U.S. dollar in 2025 compared to 2024. These items were partially offset by an increase in Australia related to the Qantac Acquisition in the second quarter of 2025 and new business in our integrated services villages in Western Australia and Queensland. The assets from the Qantac Acquisition generated $20.2 million of revenues in 2025. See below for further discussion of segment results of operations.</w:t>
      </w:r>
    </w:p>
    <w:p>
      <w:pPr>
        <w:spacing w:after="0" w:line="172" w:lineRule="exact"/>
        <w:rPr>
          <w:sz w:val="20"/>
          <w:szCs w:val="20"/>
          <w:color w:val="auto"/>
        </w:rPr>
      </w:pPr>
    </w:p>
    <w:p>
      <w:pPr>
        <w:ind w:firstLine="461"/>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Cost of Sales and Services. </w:t>
      </w:r>
      <w:r>
        <w:rPr>
          <w:rFonts w:ascii="Times New Roman" w:cs="Times New Roman" w:eastAsia="Times New Roman" w:hAnsi="Times New Roman"/>
          <w:sz w:val="17"/>
          <w:szCs w:val="17"/>
          <w:color w:val="auto"/>
        </w:rPr>
        <w:t>Our consolidated cost of sales and services decreased $44.9 million, or 8.4%, in 2025 compared to 2024. This decrease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primarily due to (i) lower costs at various lodges in Canada due to reduced occupancy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7"/>
          <w:szCs w:val="17"/>
          <w:color w:val="auto"/>
        </w:rPr>
        <w:t>levels, (ii) reduced costs at various lodges and reduced indirect costs as a result of various cost reduction measures in Canada implemented in late 2024 and early 2025, (iii) lower costs related to the reduced mobile asset activity in Canada from pipeline projects for which final costs were incurred in the first six months of 2024, (iv) reduced food service and other services costs in Canada as client maintenance work in 2024 did not recur to the same extent in 2025 and (v) a weaker Australian and Canadian dollar relative to the U.S. dollar in 2025 compared to 2024. These items were partially offset by an increase in Australia related to the Qantac Acquisition in the second quarter of 2025 and new business in our integrated services villages in Western Australia and Queensland and associated overhead costs. See below for further discussion of segment results of operations.</w:t>
      </w:r>
    </w:p>
    <w:p>
      <w:pPr>
        <w:spacing w:after="0" w:line="195"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SG&amp;A expense increased $2.0 million, or 3%, in 2025 compared to 2024. This increase was primarily due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higher professional fees of $4.9 million due to shareholder activist related costs of $5.5 million in 2025 compared to 2024, partially offset by lower travel and entertainment costs of $1.1 million, down 38% year-of-year, lower office expenses of $1.1 million, lower incentive compensation cost of $0.9 million and a weaker Australian and Canadian dollar relative to the U.S. dollar in 2025 compared to 2024.</w:t>
      </w:r>
    </w:p>
    <w:p>
      <w:pPr>
        <w:spacing w:after="0" w:line="190"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Depreciation and Amortization Expense. </w:t>
      </w:r>
      <w:r>
        <w:rPr>
          <w:rFonts w:ascii="Times New Roman" w:cs="Times New Roman" w:eastAsia="Times New Roman" w:hAnsi="Times New Roman"/>
          <w:sz w:val="17"/>
          <w:szCs w:val="17"/>
          <w:color w:val="auto"/>
        </w:rPr>
        <w:t>Depreciation and amortization expense increased $4.6 million, or 7%, in 2025 compared to 2024. The increase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was primarily due to additional property, plant and equipment acquired through the Qantac Acquisition and shortening the lives on certain assets in Canada, partially offset by a weaker Australian and Canadian dollar relative to the U.S. dollar in 2025 compared to 2024 and reduced depreciation expense resulting from impairments recorded in 2024.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Impairment Expense. </w:t>
      </w:r>
      <w:r>
        <w:rPr>
          <w:rFonts w:ascii="Times New Roman" w:cs="Times New Roman" w:eastAsia="Times New Roman" w:hAnsi="Times New Roman"/>
          <w:sz w:val="17"/>
          <w:szCs w:val="17"/>
          <w:color w:val="auto"/>
        </w:rPr>
        <w:t>We recorded pre-tax impairment expense of $11.6 million in 2024 associated with long-lived assets in Australia and the U.S.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4 - Impairment Charges to the notes to the consolidated financial statements included in Item 8 of this annual report for further discussion.</w:t>
      </w:r>
    </w:p>
    <w:p>
      <w:pPr>
        <w:spacing w:after="0" w:line="2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Gain on Sale of McClelland Lake Lodge Assets, net. </w:t>
      </w:r>
      <w:r>
        <w:rPr>
          <w:rFonts w:ascii="Times New Roman" w:cs="Times New Roman" w:eastAsia="Times New Roman" w:hAnsi="Times New Roman"/>
          <w:sz w:val="17"/>
          <w:szCs w:val="17"/>
          <w:color w:val="auto"/>
        </w:rPr>
        <w:t>We recorded $5.7 million in net gains associated with the sale of the McClelland Lake Lodge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193" w:lineRule="exact"/>
        <w:rPr>
          <w:sz w:val="20"/>
          <w:szCs w:val="20"/>
          <w:color w:val="auto"/>
        </w:rPr>
      </w:pPr>
    </w:p>
    <w:p>
      <w:pPr>
        <w:jc w:val="both"/>
        <w:ind w:firstLine="461"/>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Operating Income. </w:t>
      </w:r>
      <w:r>
        <w:rPr>
          <w:rFonts w:ascii="Times New Roman" w:cs="Times New Roman" w:eastAsia="Times New Roman" w:hAnsi="Times New Roman"/>
          <w:sz w:val="17"/>
          <w:szCs w:val="17"/>
          <w:color w:val="auto"/>
        </w:rPr>
        <w:t>Operating income increased $2.8 million, or 209%, in 2025 compared to 2024 primarily due to higher activity levels in Australia in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compared to 2024 and impairment expenses recorded in 2024. These items were partially offset by lower lodge occupancy in Canada, higher depreciation and amortization expense and higher SG&amp;A expense in 2025 compared to 2024. In addition, 2024 included a net gain on sale of McClelland Lake Lodge assets.</w:t>
      </w:r>
    </w:p>
    <w:p>
      <w:pPr>
        <w:spacing w:after="0" w:line="185" w:lineRule="exact"/>
        <w:rPr>
          <w:sz w:val="20"/>
          <w:szCs w:val="20"/>
          <w:color w:val="auto"/>
        </w:rPr>
      </w:pPr>
    </w:p>
    <w:p>
      <w:pPr>
        <w:jc w:val="both"/>
        <w:ind w:firstLine="461"/>
        <w:spacing w:after="0" w:line="289" w:lineRule="auto"/>
        <w:rPr>
          <w:sz w:val="20"/>
          <w:szCs w:val="20"/>
          <w:color w:val="auto"/>
        </w:rPr>
      </w:pPr>
      <w:r>
        <w:rPr>
          <w:rFonts w:ascii="Times New Roman" w:cs="Times New Roman" w:eastAsia="Times New Roman" w:hAnsi="Times New Roman"/>
          <w:sz w:val="17"/>
          <w:szCs w:val="17"/>
          <w:b w:val="1"/>
          <w:bCs w:val="1"/>
          <w:color w:val="auto"/>
        </w:rPr>
        <w:t xml:space="preserve">Interest Expense, net. </w:t>
      </w:r>
      <w:r>
        <w:rPr>
          <w:rFonts w:ascii="Times New Roman" w:cs="Times New Roman" w:eastAsia="Times New Roman" w:hAnsi="Times New Roman"/>
          <w:sz w:val="17"/>
          <w:szCs w:val="17"/>
          <w:color w:val="auto"/>
        </w:rPr>
        <w:t>Net interest expense increased $3.5 million, or 45%, in 2025 compared to 2024, primarily related to higher average debt levels,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partially offset by lower interest rates on credit facility borrowings in 2025 compared to 2024.</w:t>
      </w:r>
    </w:p>
    <w:p>
      <w:pPr>
        <w:spacing w:after="0" w:line="169"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Our income tax expense for 2025 totaled $13.6 million, or (211.0)% of pretax loss, compared to an expense of $12.5 million,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(210.4)% of pretax loss for 2024. Our effective tax rate for 2025 and 2024 was lower than the Canadian federal statutory rate of 15% primarily due to pre-tax losses in Canada and the U.S. with no corresponding tax benefit. Full valuation allowances are maintained against net deferred tax assets in both Canada and the U.S. In 2025, the tax benefit in Canada and the U.S. was offset by an increase to the valuation allowance of $10.6 million.</w:t>
      </w:r>
    </w:p>
    <w:p>
      <w:pPr>
        <w:spacing w:after="0" w:line="190" w:lineRule="exact"/>
        <w:rPr>
          <w:sz w:val="20"/>
          <w:szCs w:val="20"/>
          <w:color w:val="auto"/>
        </w:rPr>
      </w:pPr>
    </w:p>
    <w:p>
      <w:pPr>
        <w:jc w:val="both"/>
        <w:ind w:firstLine="461"/>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Other Comprehensive Income (Loss). </w:t>
      </w:r>
      <w:r>
        <w:rPr>
          <w:rFonts w:ascii="Times New Roman" w:cs="Times New Roman" w:eastAsia="Times New Roman" w:hAnsi="Times New Roman"/>
          <w:sz w:val="17"/>
          <w:szCs w:val="17"/>
          <w:color w:val="auto"/>
        </w:rPr>
        <w:t>Other comprehensive income increased $37.8 million in 2025 compared to 2024 primarily as a result of foreign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currency translation adjustments due to changes in the Australian and Canadian dollar exchange rates compared to the U.S. dollar. The Australian dollar exchange rate compared to the U.S. dollar increased 7.7% in 2025 compared to a 9.0% decrease in 2024. The Canadian dollar exchange rate compared to the U.S. dollar increased 5.0% in 2025 compared to an 8.1% decrease in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Australian Segment</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5"/>
        </w:trPr>
        <w:tc>
          <w:tcPr>
            <w:tcW w:w="4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4"/>
        </w:trPr>
        <w:tc>
          <w:tcPr>
            <w:tcW w:w="4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8"/>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92"/>
        </w:trPr>
        <w:tc>
          <w:tcPr>
            <w:tcW w:w="4840" w:type="dxa"/>
            <w:vAlign w:val="bottom"/>
          </w:tcPr>
          <w:p>
            <w:pPr>
              <w:ind w:left="120"/>
              <w:spacing w:after="0" w:line="192" w:lineRule="exact"/>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17"/>
                <w:szCs w:val="17"/>
                <w:color w:val="auto"/>
                <w:vertAlign w:val="superscript"/>
              </w:rPr>
              <w:t>(1)</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211,761</w:t>
            </w:r>
          </w:p>
        </w:tc>
        <w:tc>
          <w:tcPr>
            <w:tcW w:w="120" w:type="dxa"/>
            <w:vAlign w:val="bottom"/>
          </w:tcPr>
          <w:p>
            <w:pPr>
              <w:spacing w:after="0"/>
              <w:rPr>
                <w:sz w:val="16"/>
                <w:szCs w:val="16"/>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196,684</w:t>
            </w:r>
          </w:p>
        </w:tc>
        <w:tc>
          <w:tcPr>
            <w:tcW w:w="100" w:type="dxa"/>
            <w:vAlign w:val="bottom"/>
          </w:tcPr>
          <w:p>
            <w:pPr>
              <w:spacing w:after="0"/>
              <w:rPr>
                <w:sz w:val="16"/>
                <w:szCs w:val="16"/>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15,077</w:t>
            </w:r>
          </w:p>
        </w:tc>
      </w:tr>
      <w:tr>
        <w:trPr>
          <w:trHeight w:val="192"/>
        </w:trPr>
        <w:tc>
          <w:tcPr>
            <w:tcW w:w="4840" w:type="dxa"/>
            <w:vAlign w:val="bottom"/>
            <w:shd w:val="clear" w:color="auto" w:fill="CCEEFF"/>
          </w:tcPr>
          <w:p>
            <w:pPr>
              <w:ind w:left="120"/>
              <w:spacing w:after="0" w:line="192" w:lineRule="exact"/>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17"/>
                <w:szCs w:val="17"/>
                <w:color w:val="auto"/>
                <w:vertAlign w:val="superscript"/>
              </w:rPr>
              <w:t>(2)</w:t>
            </w:r>
          </w:p>
        </w:tc>
        <w:tc>
          <w:tcPr>
            <w:tcW w:w="10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248,534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230,272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18,262</w:t>
            </w:r>
          </w:p>
        </w:tc>
      </w:tr>
      <w:tr>
        <w:trPr>
          <w:trHeight w:val="177"/>
        </w:trPr>
        <w:tc>
          <w:tcPr>
            <w:tcW w:w="4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460,295</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426,956</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33,339</w:t>
            </w:r>
          </w:p>
        </w:tc>
      </w:tr>
      <w:tr>
        <w:trPr>
          <w:trHeight w:val="213"/>
        </w:trPr>
        <w:tc>
          <w:tcPr>
            <w:tcW w:w="4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 ($ in thousands)</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103,275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94,344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8,931</w:t>
            </w:r>
          </w:p>
        </w:tc>
      </w:tr>
      <w:tr>
        <w:trPr>
          <w:trHeight w:val="184"/>
        </w:trPr>
        <w:tc>
          <w:tcPr>
            <w:tcW w:w="4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060" w:type="dxa"/>
            <w:vAlign w:val="bottom"/>
          </w:tcPr>
          <w:p>
            <w:pPr>
              <w:spacing w:after="0"/>
              <w:rPr>
                <w:sz w:val="15"/>
                <w:szCs w:val="15"/>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222,259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208,627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13,632</w:t>
            </w:r>
          </w:p>
        </w:tc>
      </w:tr>
      <w:tr>
        <w:trPr>
          <w:trHeight w:val="200"/>
        </w:trPr>
        <w:tc>
          <w:tcPr>
            <w:tcW w:w="4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13,923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12,403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1,520</w:t>
            </w:r>
          </w:p>
        </w:tc>
      </w:tr>
      <w:tr>
        <w:trPr>
          <w:trHeight w:val="177"/>
        </w:trPr>
        <w:tc>
          <w:tcPr>
            <w:tcW w:w="48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339,457</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315,374</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24,083</w:t>
            </w:r>
          </w:p>
        </w:tc>
      </w:tr>
      <w:tr>
        <w:trPr>
          <w:trHeight w:val="213"/>
        </w:trPr>
        <w:tc>
          <w:tcPr>
            <w:tcW w:w="4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4"/>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0.02 %</w:t>
            </w:r>
          </w:p>
        </w:tc>
      </w:tr>
      <w:tr>
        <w:trPr>
          <w:trHeight w:val="213"/>
        </w:trPr>
        <w:tc>
          <w:tcPr>
            <w:tcW w:w="4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92"/>
        </w:trPr>
        <w:tc>
          <w:tcPr>
            <w:tcW w:w="4840" w:type="dxa"/>
            <w:vAlign w:val="bottom"/>
          </w:tcPr>
          <w:p>
            <w:pPr>
              <w:spacing w:after="0" w:line="192" w:lineRule="exact"/>
              <w:rPr>
                <w:sz w:val="20"/>
                <w:szCs w:val="20"/>
                <w:color w:val="auto"/>
              </w:rPr>
            </w:pPr>
            <w:r>
              <w:rPr>
                <w:rFonts w:ascii="Times New Roman" w:cs="Times New Roman" w:eastAsia="Times New Roman" w:hAnsi="Times New Roman"/>
                <w:sz w:val="14"/>
                <w:szCs w:val="14"/>
                <w:color w:val="auto"/>
              </w:rPr>
              <w:t xml:space="preserve">Average daily rate for owned villages </w:t>
            </w:r>
            <w:r>
              <w:rPr>
                <w:rFonts w:ascii="Times New Roman" w:cs="Times New Roman" w:eastAsia="Times New Roman" w:hAnsi="Times New Roman"/>
                <w:sz w:val="17"/>
                <w:szCs w:val="17"/>
                <w:color w:val="auto"/>
                <w:vertAlign w:val="superscript"/>
              </w:rPr>
              <w:t>(3)</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6"/>
                <w:szCs w:val="16"/>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w:t>
            </w:r>
          </w:p>
        </w:tc>
      </w:tr>
      <w:tr>
        <w:trPr>
          <w:trHeight w:val="205"/>
        </w:trPr>
        <w:tc>
          <w:tcPr>
            <w:tcW w:w="4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92"/>
        </w:trPr>
        <w:tc>
          <w:tcPr>
            <w:tcW w:w="4840" w:type="dxa"/>
            <w:vAlign w:val="bottom"/>
          </w:tcPr>
          <w:p>
            <w:pPr>
              <w:spacing w:after="0" w:line="192" w:lineRule="exact"/>
              <w:rPr>
                <w:sz w:val="20"/>
                <w:szCs w:val="20"/>
                <w:color w:val="auto"/>
              </w:rPr>
            </w:pPr>
            <w:r>
              <w:rPr>
                <w:rFonts w:ascii="Times New Roman" w:cs="Times New Roman" w:eastAsia="Times New Roman" w:hAnsi="Times New Roman"/>
                <w:sz w:val="14"/>
                <w:szCs w:val="14"/>
                <w:color w:val="auto"/>
              </w:rPr>
              <w:t xml:space="preserve">Total billed rooms for owned villages </w:t>
            </w:r>
            <w:r>
              <w:rPr>
                <w:rFonts w:ascii="Times New Roman" w:cs="Times New Roman" w:eastAsia="Times New Roman" w:hAnsi="Times New Roman"/>
                <w:sz w:val="17"/>
                <w:szCs w:val="17"/>
                <w:color w:val="auto"/>
                <w:vertAlign w:val="superscript"/>
              </w:rPr>
              <w:t>(4)</w:t>
            </w:r>
          </w:p>
        </w:tc>
        <w:tc>
          <w:tcPr>
            <w:tcW w:w="1060" w:type="dxa"/>
            <w:vAlign w:val="bottom"/>
          </w:tcPr>
          <w:p>
            <w:pPr>
              <w:spacing w:after="0"/>
              <w:rPr>
                <w:sz w:val="16"/>
                <w:szCs w:val="16"/>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w w:val="96"/>
              </w:rPr>
              <w:t>2,783,893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2,524,108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259,785</w:t>
            </w:r>
          </w:p>
        </w:tc>
      </w:tr>
      <w:tr>
        <w:trPr>
          <w:trHeight w:val="205"/>
        </w:trPr>
        <w:tc>
          <w:tcPr>
            <w:tcW w:w="48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176"/>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Australian dollar to U.S. dollar</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0.645</w:t>
            </w:r>
          </w:p>
        </w:tc>
        <w:tc>
          <w:tcPr>
            <w:tcW w:w="12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0.660</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(0.015)</w:t>
            </w:r>
          </w:p>
        </w:tc>
      </w:tr>
    </w:tbl>
    <w:p>
      <w:pPr>
        <w:spacing w:after="0" w:line="289" w:lineRule="exact"/>
        <w:rPr>
          <w:sz w:val="20"/>
          <w:szCs w:val="20"/>
          <w:color w:val="auto"/>
        </w:rPr>
      </w:pPr>
    </w:p>
    <w:p>
      <w:pPr>
        <w:ind w:left="300" w:hanging="298"/>
        <w:spacing w:after="0"/>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village rooms and hospitality services for owned rooms for the periods presented.</w:t>
      </w:r>
    </w:p>
    <w:p>
      <w:pPr>
        <w:ind w:left="300" w:hanging="298"/>
        <w:spacing w:after="0" w:line="193"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food service and other services, including facilities management, for the periods presented.</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villages.</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Australian segment reported revenues in 2025 that were $33.3 million, or 8%, higher than in 2024. The weakening of the average exchange rate for the Australian dollar relative to the U.S. dollar by 2.3% in 2025 compared to 2024 resulted in a $10.5 million period-over-period decrease in revenues. On a constant currency basis, the Australian segment experienced a 10.3% period-over-period increase in revenues. Excluding the impact of the weaker Australian exchange rate, the increase in the Australian segment was driven by the Qantac Acquisition in the second quarter of 2025 and new business in our integrated services villages in Western Australia and Queensland.</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Australian segment cost of sales and services increased $24.1 million, or 8%, in 2025 compared to 2024. The weakening of the average exchange rate for the Australian dollar relative to the U.S. dollar by 2.3% in 2025 compared to 2024 resulted in a $7.7 million period-over-period decrease in cost of sales and services. Excluding the impact of the weaker Australian exchange rate, the increase in cost of sales and services in the Australian segment was largely driven by the Qantac Acquisition and new business in our integrated services villages in Western Australia and Queensland and the associated overhead costs.</w:t>
      </w:r>
    </w:p>
    <w:p>
      <w:pPr>
        <w:spacing w:after="0" w:line="19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Australian segment gross margin as a percentage of revenues increased from 26.1% in 2024 to 26.3% in 2025. This was primarily driven by increased relative contribution from our accommodation business associated with the Qantac Acquisition and improved profitability across our integrated services villages in 2025. Our accommodation business generates higher gross margins than our integrated services business which has a service-only business model.</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Segment Results of Operations – Canadian Segment</w:t>
      </w:r>
    </w:p>
    <w:p>
      <w:pPr>
        <w:spacing w:after="0" w:line="2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85"/>
        </w:trPr>
        <w:tc>
          <w:tcPr>
            <w:tcW w:w="47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4"/>
        </w:trPr>
        <w:tc>
          <w:tcPr>
            <w:tcW w:w="47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7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 in thousands)</w:t>
            </w:r>
          </w:p>
        </w:tc>
        <w:tc>
          <w:tcPr>
            <w:tcW w:w="106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84"/>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Accommodation and associated services revenue </w:t>
            </w:r>
            <w:r>
              <w:rPr>
                <w:rFonts w:ascii="Times New Roman" w:cs="Times New Roman" w:eastAsia="Times New Roman" w:hAnsi="Times New Roman"/>
                <w:sz w:val="8"/>
                <w:szCs w:val="8"/>
                <w:color w:val="auto"/>
              </w:rPr>
              <w:t>(1)</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150,651</w:t>
            </w:r>
          </w:p>
        </w:tc>
        <w:tc>
          <w:tcPr>
            <w:tcW w:w="10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214,774</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(64,123)</w:t>
            </w:r>
          </w:p>
        </w:tc>
      </w:tr>
      <w:tr>
        <w:trPr>
          <w:trHeight w:val="20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Mobile facility rental and associated services revenue </w:t>
            </w:r>
            <w:r>
              <w:rPr>
                <w:rFonts w:ascii="Times New Roman" w:cs="Times New Roman" w:eastAsia="Times New Roman" w:hAnsi="Times New Roman"/>
                <w:sz w:val="8"/>
                <w:szCs w:val="8"/>
                <w:color w:val="auto"/>
              </w:rPr>
              <w:t>(2)</w:t>
            </w: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1,587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1,523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64</w:t>
            </w:r>
          </w:p>
        </w:tc>
      </w:tr>
      <w:tr>
        <w:trPr>
          <w:trHeight w:val="185"/>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 xml:space="preserve">Integrated services and other services revenue </w:t>
            </w:r>
            <w:r>
              <w:rPr>
                <w:rFonts w:ascii="Times New Roman" w:cs="Times New Roman" w:eastAsia="Times New Roman" w:hAnsi="Times New Roman"/>
                <w:sz w:val="8"/>
                <w:szCs w:val="8"/>
                <w:color w:val="auto"/>
              </w:rPr>
              <w:t>(3)</w:t>
            </w:r>
          </w:p>
        </w:tc>
        <w:tc>
          <w:tcPr>
            <w:tcW w:w="10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color w:val="auto"/>
              </w:rPr>
              <w:t>26,316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28,790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(2,474)</w:t>
            </w:r>
          </w:p>
        </w:tc>
      </w:tr>
      <w:tr>
        <w:trPr>
          <w:trHeight w:val="192"/>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revenues</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178,554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245,087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(66,533)</w:t>
            </w:r>
          </w:p>
        </w:tc>
      </w:tr>
      <w:tr>
        <w:trPr>
          <w:trHeight w:val="205"/>
        </w:trPr>
        <w:tc>
          <w:tcPr>
            <w:tcW w:w="4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and services ($ in thousands)</w:t>
            </w:r>
          </w:p>
        </w:tc>
        <w:tc>
          <w:tcPr>
            <w:tcW w:w="10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4"/>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Accommodation and associated services cost</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114,964</w:t>
            </w:r>
          </w:p>
        </w:tc>
        <w:tc>
          <w:tcPr>
            <w:tcW w:w="10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164,089</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(49,125)</w:t>
            </w:r>
          </w:p>
        </w:tc>
      </w:tr>
      <w:tr>
        <w:trPr>
          <w:trHeight w:val="20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Mobile facility rental and associated services cost</w:t>
            </w:r>
          </w:p>
        </w:tc>
        <w:tc>
          <w:tcPr>
            <w:tcW w:w="10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4,940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(4,595)</w:t>
            </w:r>
          </w:p>
        </w:tc>
      </w:tr>
      <w:tr>
        <w:trPr>
          <w:trHeight w:val="184"/>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Integrated services and other services cost</w:t>
            </w:r>
          </w:p>
        </w:tc>
        <w:tc>
          <w:tcPr>
            <w:tcW w:w="106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24,489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27,201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(2,712)</w:t>
            </w:r>
          </w:p>
        </w:tc>
      </w:tr>
      <w:tr>
        <w:trPr>
          <w:trHeight w:val="20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Indirect other cost</w:t>
            </w:r>
          </w:p>
        </w:tc>
        <w:tc>
          <w:tcPr>
            <w:tcW w:w="10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8,193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10,905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(2,712)</w:t>
            </w:r>
          </w:p>
        </w:tc>
      </w:tr>
      <w:tr>
        <w:trPr>
          <w:trHeight w:val="177"/>
        </w:trPr>
        <w:tc>
          <w:tcPr>
            <w:tcW w:w="4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cost of sales and services</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147,991</w:t>
            </w:r>
          </w:p>
        </w:tc>
        <w:tc>
          <w:tcPr>
            <w:tcW w:w="10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207,135</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(59,144)</w:t>
            </w:r>
          </w:p>
        </w:tc>
      </w:tr>
      <w:tr>
        <w:trPr>
          <w:trHeight w:val="213"/>
        </w:trPr>
        <w:tc>
          <w:tcPr>
            <w:tcW w:w="4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 as a % of revenues</w:t>
            </w:r>
          </w:p>
        </w:tc>
        <w:tc>
          <w:tcPr>
            <w:tcW w:w="10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r>
      <w:tr>
        <w:trPr>
          <w:trHeight w:val="213"/>
        </w:trPr>
        <w:tc>
          <w:tcPr>
            <w:tcW w:w="4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Average daily rate for owned lodges </w:t>
            </w:r>
            <w:r>
              <w:rPr>
                <w:rFonts w:ascii="Times New Roman" w:cs="Times New Roman" w:eastAsia="Times New Roman" w:hAnsi="Times New Roman"/>
                <w:sz w:val="8"/>
                <w:szCs w:val="8"/>
                <w:color w:val="auto"/>
              </w:rPr>
              <w:t>(4)</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4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4"/>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Total billed rooms for owned lodges </w:t>
            </w:r>
            <w:r>
              <w:rPr>
                <w:rFonts w:ascii="Times New Roman" w:cs="Times New Roman" w:eastAsia="Times New Roman" w:hAnsi="Times New Roman"/>
                <w:sz w:val="8"/>
                <w:szCs w:val="8"/>
                <w:color w:val="auto"/>
              </w:rPr>
              <w:t>(5)</w:t>
            </w:r>
          </w:p>
        </w:tc>
        <w:tc>
          <w:tcPr>
            <w:tcW w:w="1060" w:type="dxa"/>
            <w:vAlign w:val="bottom"/>
          </w:tcPr>
          <w:p>
            <w:pPr>
              <w:spacing w:after="0"/>
              <w:rPr>
                <w:sz w:val="15"/>
                <w:szCs w:val="15"/>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96"/>
              </w:rPr>
              <w:t>1,550,435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2,205,700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(655,265)</w:t>
            </w:r>
          </w:p>
        </w:tc>
      </w:tr>
      <w:tr>
        <w:trPr>
          <w:trHeight w:val="213"/>
        </w:trPr>
        <w:tc>
          <w:tcPr>
            <w:tcW w:w="4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6"/>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Average Canadian dollar to U.S. dollar</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0.716</w:t>
            </w:r>
          </w:p>
        </w:tc>
        <w:tc>
          <w:tcPr>
            <w:tcW w:w="100" w:type="dxa"/>
            <w:vAlign w:val="bottom"/>
          </w:tcPr>
          <w:p>
            <w:pPr>
              <w:spacing w:after="0"/>
              <w:rPr>
                <w:sz w:val="15"/>
                <w:szCs w:val="15"/>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0.730</w:t>
            </w:r>
          </w:p>
        </w:tc>
        <w:tc>
          <w:tcPr>
            <w:tcW w:w="10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(0.015)</w:t>
            </w:r>
          </w:p>
        </w:tc>
      </w:tr>
    </w:tbl>
    <w:p>
      <w:pPr>
        <w:spacing w:after="0" w:line="289" w:lineRule="exact"/>
        <w:rPr>
          <w:sz w:val="20"/>
          <w:szCs w:val="20"/>
          <w:color w:val="auto"/>
        </w:rPr>
      </w:pPr>
    </w:p>
    <w:p>
      <w:pPr>
        <w:ind w:left="300" w:hanging="298"/>
        <w:spacing w:after="0"/>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lodge rooms and hospitality services for owned rooms for the periods presented.</w:t>
      </w:r>
    </w:p>
    <w:p>
      <w:pPr>
        <w:ind w:left="300" w:hanging="298"/>
        <w:spacing w:after="0" w:line="193" w:lineRule="auto"/>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mobile assets for the periods presented.</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revenues related to food service, laundry and water and wastewater treatment services for the periods presented.</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Average daily rate is based on billed rooms and accommodation revenue in the Company's owned lodges.</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Billed rooms represents total billed days for owned assets for the periods presented.</w:t>
      </w:r>
    </w:p>
    <w:p>
      <w:pPr>
        <w:spacing w:after="0" w:line="214"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Canadian segment reported revenues in 2025 that were $66.5 million, or 27%, lower than 2024. The weakening of the average exchange rate for the Canadian dollar relative to the U.S. dollar by 2.0% in 2025 compared to 2024 resulted in a $3.6 million period-over-period decrease in revenues. Excluding the impact of the weaker Canadian exchange rate, the revenue decrease was driven by (i) lower billed rooms at our oil sands lodges, down 29% year-over-year, as producers in the region remain focused on reducing operating costs, (ii) reduced occupancy at our Sitka Lodge beginning in the third quarter of 2024 as the Kitimat LNG facility was nearing completion and subsequently commenced operations in the second quarter of 2025 and (iii) lower food service and other services revenue as client maintenance work in 2024 did not recur to the same extent in 2025.</w:t>
      </w:r>
    </w:p>
    <w:p>
      <w:pPr>
        <w:spacing w:after="0" w:line="199"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Canadian segment cost of sales and services decreased $59.1 million, or 29%, in 2025 compared to 2024. The weakening of the average exchange rate for the Canadian dollar relative to the U.S. dollar by 2.0% in 2025 compared to 2024 resulted in a $3.1 million period-over-period decrease in cost of sales and services. Excluding the impact of the weaker Canadian exchange rate, the decrease in cost of sales and services was largely driven by (i) lower costs at various lodges due to reduced occupancy levels, (ii) reduced costs at various lodges and reduced indirect costs as a result of various cost reduction measures implemented in late 2024 and early 2025, (iii) lower costs related to the reduced mobile asset activity from pipeline projects for which final costs were incurred in the first six months of 2024 and (iv) reduced food service and other services costs as client maintenance work in 2024 did not recur to the same extent in 2025.</w:t>
      </w:r>
    </w:p>
    <w:p>
      <w:pPr>
        <w:spacing w:after="0" w:line="199"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Our Canadian segment gross margin as a percentage of revenues increased from 15.5% in 2024 to 17.1% in 2025. This was primarily driven by final costs for pipeline projects in 2024 that did not recur in 2025 and various cost reduction measures implemented in late 2024 and early 2025 impacting indirect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primary liquidity needs are to fund capital expenditures, which in the past have included expanding and improving our hospitality services, developing new lodges and villages and purchasing or leasing land, to repurchase common shares, to pay dividends and for general working capital needs. In addition, capital has been used to repay debt and fund strategic business acquisitions. Historically, our primary sources of funds have been available cash, cash flow from operations, borrowings under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5" w:name="page56"/>
    <w:bookmarkEnd w:id="55"/>
    <w:p>
      <w:pPr>
        <w:spacing w:after="0" w:line="284" w:lineRule="auto"/>
        <w:rPr>
          <w:sz w:val="20"/>
          <w:szCs w:val="20"/>
          <w:color w:val="auto"/>
        </w:rPr>
      </w:pPr>
      <w:r>
        <w:rPr>
          <w:rFonts w:ascii="Times New Roman" w:cs="Times New Roman" w:eastAsia="Times New Roman" w:hAnsi="Times New Roman"/>
          <w:sz w:val="17"/>
          <w:szCs w:val="17"/>
          <w:color w:val="auto"/>
        </w:rPr>
        <w:t>our Credit Agreement and proceeds from equity issuances. In the future, we may seek to access the debt and equity capital markets from time to time to raise additional capital, increase liquidity, fund acquisitions or refinance debt.</w:t>
      </w:r>
    </w:p>
    <w:p>
      <w:pPr>
        <w:spacing w:after="0" w:line="178" w:lineRule="exact"/>
        <w:rPr>
          <w:sz w:val="20"/>
          <w:szCs w:val="20"/>
          <w:color w:val="auto"/>
        </w:rPr>
      </w:pPr>
    </w:p>
    <w:p>
      <w:pPr>
        <w:ind w:firstLine="461"/>
        <w:spacing w:after="0" w:line="284" w:lineRule="auto"/>
        <w:rPr>
          <w:sz w:val="20"/>
          <w:szCs w:val="20"/>
          <w:color w:val="auto"/>
        </w:rPr>
      </w:pPr>
      <w:r>
        <w:rPr>
          <w:rFonts w:ascii="Times New Roman" w:cs="Times New Roman" w:eastAsia="Times New Roman" w:hAnsi="Times New Roman"/>
          <w:sz w:val="17"/>
          <w:szCs w:val="17"/>
          <w:color w:val="auto"/>
        </w:rPr>
        <w:t>The following summarizes our material future cash requirements at December 31, 2025, and the effect such obligations are expected to have on our liquidity and cash flow over the next five years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Less Than 1</w:t>
            </w: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w w:val="97"/>
              </w:rPr>
              <w:t>More</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1 – 3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3 – 5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center"/>
              <w:ind w:right="203"/>
              <w:spacing w:after="0" w:line="154" w:lineRule="exact"/>
              <w:rPr>
                <w:sz w:val="20"/>
                <w:szCs w:val="20"/>
                <w:color w:val="auto"/>
              </w:rPr>
            </w:pPr>
            <w:r>
              <w:rPr>
                <w:rFonts w:ascii="Times New Roman" w:cs="Times New Roman" w:eastAsia="Times New Roman" w:hAnsi="Times New Roman"/>
                <w:sz w:val="15"/>
                <w:szCs w:val="15"/>
                <w:b w:val="1"/>
                <w:bCs w:val="1"/>
                <w:color w:val="auto"/>
              </w:rPr>
              <w:t>Than 5</w:t>
            </w:r>
          </w:p>
        </w:tc>
        <w:tc>
          <w:tcPr>
            <w:tcW w:w="0" w:type="dxa"/>
            <w:vAlign w:val="bottom"/>
          </w:tcPr>
          <w:p>
            <w:pPr>
              <w:spacing w:after="0"/>
              <w:rPr>
                <w:sz w:val="1"/>
                <w:szCs w:val="1"/>
                <w:color w:val="auto"/>
              </w:rPr>
            </w:pPr>
          </w:p>
        </w:tc>
      </w:tr>
      <w:tr>
        <w:trPr>
          <w:trHeight w:val="204"/>
        </w:trPr>
        <w:tc>
          <w:tcPr>
            <w:tcW w:w="37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5"/>
                <w:szCs w:val="15"/>
                <w:b w:val="1"/>
                <w:bCs w:val="1"/>
                <w:color w:val="auto"/>
              </w:rPr>
              <w:t>Years</w:t>
            </w:r>
          </w:p>
        </w:tc>
        <w:tc>
          <w:tcPr>
            <w:tcW w:w="0" w:type="dxa"/>
            <w:vAlign w:val="bottom"/>
          </w:tcPr>
          <w:p>
            <w:pPr>
              <w:spacing w:after="0"/>
              <w:rPr>
                <w:sz w:val="1"/>
                <w:szCs w:val="1"/>
                <w:color w:val="auto"/>
              </w:rPr>
            </w:pPr>
          </w:p>
        </w:tc>
      </w:tr>
      <w:tr>
        <w:trPr>
          <w:trHeight w:val="19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maturities</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182,842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182,842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line="205" w:lineRule="exact"/>
              <w:rPr>
                <w:sz w:val="20"/>
                <w:szCs w:val="20"/>
                <w:color w:val="auto"/>
              </w:rPr>
            </w:pPr>
            <w:r>
              <w:rPr>
                <w:rFonts w:ascii="Times New Roman" w:cs="Times New Roman" w:eastAsia="Times New Roman" w:hAnsi="Times New Roman"/>
                <w:sz w:val="15"/>
                <w:szCs w:val="15"/>
                <w:color w:val="auto"/>
              </w:rPr>
              <w:t xml:space="preserve">Interest payments </w:t>
            </w:r>
            <w:r>
              <w:rPr>
                <w:rFonts w:ascii="Times New Roman" w:cs="Times New Roman" w:eastAsia="Times New Roman" w:hAnsi="Times New Roman"/>
                <w:sz w:val="19"/>
                <w:szCs w:val="19"/>
                <w:color w:val="auto"/>
                <w:vertAlign w:val="superscript"/>
              </w:rPr>
              <w:t>(1)</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10,733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17,322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obligations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Non-cancelable lease obligations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8,894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Asset retirement obligations – expected cash payments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64,885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2,291</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3,126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56,367</w:t>
            </w:r>
          </w:p>
        </w:tc>
        <w:tc>
          <w:tcPr>
            <w:tcW w:w="0" w:type="dxa"/>
            <w:vAlign w:val="bottom"/>
          </w:tcPr>
          <w:p>
            <w:pPr>
              <w:spacing w:after="0"/>
              <w:rPr>
                <w:sz w:val="1"/>
                <w:szCs w:val="1"/>
                <w:color w:val="auto"/>
              </w:rPr>
            </w:pPr>
          </w:p>
        </w:tc>
      </w:tr>
      <w:tr>
        <w:trPr>
          <w:trHeight w:val="200"/>
        </w:trPr>
        <w:tc>
          <w:tcPr>
            <w:tcW w:w="3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contractual cash obligations</w:t>
            </w:r>
          </w:p>
        </w:tc>
        <w:tc>
          <w:tcPr>
            <w:tcW w:w="3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305,715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27,565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212,184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58,389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460" w:hanging="304"/>
        <w:spacing w:after="0"/>
        <w:tabs>
          <w:tab w:leader="none" w:pos="460"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Interest payments due under the Credit Agreement, which matures on August 8, 2028; based on an interest rate of 5.9% for Canadian revolver borrowings.</w:t>
      </w:r>
    </w:p>
    <w:p>
      <w:pPr>
        <w:spacing w:after="0" w:line="213" w:lineRule="exact"/>
        <w:rPr>
          <w:sz w:val="20"/>
          <w:szCs w:val="20"/>
          <w:color w:val="auto"/>
        </w:rPr>
      </w:pPr>
    </w:p>
    <w:p>
      <w:pPr>
        <w:ind w:firstLine="461"/>
        <w:spacing w:after="0" w:line="284" w:lineRule="auto"/>
        <w:rPr>
          <w:sz w:val="20"/>
          <w:szCs w:val="20"/>
          <w:color w:val="auto"/>
        </w:rPr>
      </w:pPr>
      <w:r>
        <w:rPr>
          <w:rFonts w:ascii="Times New Roman" w:cs="Times New Roman" w:eastAsia="Times New Roman" w:hAnsi="Times New Roman"/>
          <w:sz w:val="17"/>
          <w:szCs w:val="17"/>
          <w:color w:val="auto"/>
        </w:rPr>
        <w:t>Our debt obligations at December 31, 2025 are reflected in our consolidated balance sheet, which is a part of our consolidated financial statements in Item 8 of this annual report. We have not entered into any material leases subsequent to December 31, 2025.</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summarizes our consolidated liquidity position as of December 31, 2025 and 2024 (in thousands):</w:t>
      </w:r>
    </w:p>
    <w:p>
      <w:pPr>
        <w:spacing w:after="0" w:line="40" w:lineRule="exact"/>
        <w:rPr>
          <w:sz w:val="20"/>
          <w:szCs w:val="20"/>
          <w:color w:val="auto"/>
        </w:rPr>
      </w:pPr>
    </w:p>
    <w:tbl>
      <w:tblPr>
        <w:tblLayout w:type="fixed"/>
        <w:tblInd w:w="800" w:type="dxa"/>
        <w:tblCellMar>
          <w:top w:w="0" w:type="dxa"/>
          <w:left w:w="0" w:type="dxa"/>
          <w:bottom w:w="0" w:type="dxa"/>
          <w:right w:w="0" w:type="dxa"/>
        </w:tblCellMar>
      </w:tblPr>
      <w:tr>
        <w:trPr>
          <w:trHeight w:val="180"/>
        </w:trPr>
        <w:tc>
          <w:tcPr>
            <w:tcW w:w="7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7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9"/>
        </w:trPr>
        <w:tc>
          <w:tcPr>
            <w:tcW w:w="7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Lender commitments</w:t>
            </w:r>
          </w:p>
        </w:tc>
        <w:tc>
          <w:tcPr>
            <w:tcW w:w="8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265,000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245,000</w:t>
            </w:r>
          </w:p>
        </w:tc>
      </w:tr>
      <w:tr>
        <w:trPr>
          <w:trHeight w:val="184"/>
        </w:trPr>
        <w:tc>
          <w:tcPr>
            <w:tcW w:w="7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Reductions in availability </w:t>
            </w:r>
            <w:r>
              <w:rPr>
                <w:rFonts w:ascii="Times New Roman" w:cs="Times New Roman" w:eastAsia="Times New Roman" w:hAnsi="Times New Roman"/>
                <w:sz w:val="8"/>
                <w:szCs w:val="8"/>
                <w:color w:val="auto"/>
              </w:rPr>
              <w:t>(1)</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w:t>
            </w:r>
          </w:p>
        </w:tc>
      </w:tr>
      <w:tr>
        <w:trPr>
          <w:trHeight w:val="200"/>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against revolving credit capacity</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(182,842)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(43,299)</w:t>
            </w:r>
          </w:p>
        </w:tc>
      </w:tr>
      <w:tr>
        <w:trPr>
          <w:trHeight w:val="185"/>
        </w:trPr>
        <w:tc>
          <w:tcPr>
            <w:tcW w:w="7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Outstanding letters of credit</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(1,100)</w:t>
            </w:r>
          </w:p>
        </w:tc>
      </w:tr>
      <w:tr>
        <w:trPr>
          <w:trHeight w:val="19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Unused availability</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75,948</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196,966</w:t>
            </w:r>
          </w:p>
        </w:tc>
      </w:tr>
      <w:tr>
        <w:trPr>
          <w:trHeight w:val="185"/>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14,439</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5,204</w:t>
            </w:r>
          </w:p>
        </w:tc>
      </w:tr>
      <w:tr>
        <w:trPr>
          <w:trHeight w:val="21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available liquidity</w:t>
            </w:r>
          </w:p>
        </w:tc>
        <w:tc>
          <w:tcPr>
            <w:tcW w:w="86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90,387</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202,170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60" w:hanging="304"/>
        <w:spacing w:after="0" w:line="228" w:lineRule="auto"/>
        <w:tabs>
          <w:tab w:leader="none" w:pos="448"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 of December 31, 2025 and 2024, $5.3 million and $3.6 million, respectively, of our borrowing capacity under the Credit Agreement could not be utilized in order to maintain compliance with the maximum leverage ratio financial covenant in the Credit Agreement.</w:t>
      </w:r>
    </w:p>
    <w:p>
      <w:pPr>
        <w:spacing w:after="0" w:line="21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Cash totaling $22.3 million was provided by operations during 2025 compared to $83.5 million provided by operations during 2024. During 2025 and 2024, $28.9 million was used in working capital and $31.8 million was provided by working capital, respectively. The year-over-year increase in cash used in working capital in 2025 compared to 2024 is largely due to higher cash taxes paid in Australia in 2025 compared to 2024 and the collection of receivables in Canada related to the completion of mobile asset pipeline projects 2024 that did not recur in 2025. These items were partially offset by a decrease in cash used for accounts payable and accrued liabilities during 2025 compared to 2024.</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Cash used in investing activities during 2025 totaled $90.1 million compared to cash used in investing activities during 2024 of $14.9 million. The increase in cash used in investing activities was primarily due to the Qantac Acquisition and lower proceeds from the sale of property, plant and equipment, partially offset by lower capital expenditures. We received net proceeds from the sale of property, plant and equipment of $2.2 million during 2025 related to the sale of accommodation assets in Canada compared to $11.0 million during 2024 related to the sale of our McClelland Lake Lodge accommodation assets in Canada and the sale of our Louisiana land in the U.S. Capital expenditures totaled $20.2 million and $26.1 million during 2025 and 2024, respectively. Capital expenditures in both periods were primarily related to maintenance. In addition, our 2024 capital expenditures included approximately $2.9 million related to customer-funded infrastructure upgrades in Australia.</w:t>
      </w:r>
    </w:p>
    <w:p>
      <w:pPr>
        <w:spacing w:after="0" w:line="205"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expect our capital expenditures for 2026 to be in the range of $25 million to $30 million, which excludes any unannounced and uncommitted projects, the spending for which is contingent on obtaining customer contracts or commitments or attractive risk-adjusted economics. Whether planned expenditures will actually be spent in 2026 depends on industry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6" w:name="page57"/>
    <w:bookmarkEnd w:id="56"/>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returning capital to shareholders. We continue to monitor the global economy, commodity prices, demand for met coal, crude oil, LNG and iron ore, inflation and the resultant impact on the capital spending plans of our customers in order to plan our business activities, and we may adjust our capital expenditure plans in the future.</w:t>
      </w:r>
    </w:p>
    <w:p>
      <w:pPr>
        <w:spacing w:after="0" w:line="199" w:lineRule="exact"/>
        <w:rPr>
          <w:sz w:val="20"/>
          <w:szCs w:val="20"/>
          <w:color w:val="auto"/>
        </w:rPr>
      </w:pPr>
    </w:p>
    <w:p>
      <w:pPr>
        <w:jc w:val="both"/>
        <w:ind w:right="20" w:firstLine="461"/>
        <w:spacing w:after="0" w:line="262" w:lineRule="auto"/>
        <w:rPr>
          <w:sz w:val="20"/>
          <w:szCs w:val="20"/>
          <w:color w:val="auto"/>
        </w:rPr>
      </w:pPr>
      <w:r>
        <w:rPr>
          <w:rFonts w:ascii="Times New Roman" w:cs="Times New Roman" w:eastAsia="Times New Roman" w:hAnsi="Times New Roman"/>
          <w:sz w:val="17"/>
          <w:szCs w:val="17"/>
          <w:color w:val="auto"/>
        </w:rPr>
        <w:t>The table below delineates historical capital expenditures split between expansionary and maintenance spending on our lodges and villages, mobile asset spending and other capital expenditures. We classify capital expenditures for the development of rooms and central facilities at our lodges and villages as expansion capital expenditures. Other capital expenditures below relate to routine capital spending for support equipment, upgrades to infrastructure at our lodge and village properties and spending related to our manufacturing facilities, among other items.</w:t>
      </w:r>
    </w:p>
    <w:p>
      <w:pPr>
        <w:spacing w:after="0" w:line="171" w:lineRule="exact"/>
        <w:rPr>
          <w:sz w:val="20"/>
          <w:szCs w:val="20"/>
          <w:color w:val="auto"/>
        </w:rPr>
      </w:pPr>
    </w:p>
    <w:p>
      <w:pPr>
        <w:jc w:val="both"/>
        <w:ind w:right="20" w:firstLine="461"/>
        <w:spacing w:after="0" w:line="284" w:lineRule="auto"/>
        <w:rPr>
          <w:sz w:val="20"/>
          <w:szCs w:val="20"/>
          <w:color w:val="auto"/>
        </w:rPr>
      </w:pPr>
      <w:r>
        <w:rPr>
          <w:rFonts w:ascii="Times New Roman" w:cs="Times New Roman" w:eastAsia="Times New Roman" w:hAnsi="Times New Roman"/>
          <w:sz w:val="17"/>
          <w:szCs w:val="17"/>
          <w:color w:val="auto"/>
        </w:rPr>
        <w:t>Based on management’s judgment of capital spending classifications, we believe the following represents the components of capital expenditures and the associated percentage of revenue for the years ended December 31, 2025 and 2024 (in millions):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80"/>
        </w:trPr>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
        </w:trPr>
        <w:tc>
          <w:tcPr>
            <w:tcW w:w="1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9"/>
        </w:trPr>
        <w:tc>
          <w:tcPr>
            <w:tcW w:w="1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r>
      <w:tr>
        <w:trPr>
          <w:trHeight w:val="185"/>
        </w:trPr>
        <w:tc>
          <w:tcPr>
            <w:tcW w:w="1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Rev</w:t>
            </w:r>
          </w:p>
        </w:tc>
        <w:tc>
          <w:tcPr>
            <w:tcW w:w="7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Maint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Rev</w:t>
            </w: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Rev</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Rev</w:t>
            </w: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Maint</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Rev</w:t>
            </w: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 Rev</w:t>
            </w:r>
          </w:p>
        </w:tc>
      </w:tr>
      <w:tr>
        <w:trPr>
          <w:trHeight w:val="191"/>
        </w:trPr>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Lodge/village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5.2</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0.8 % $</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9.4</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1.5 % $</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14.6</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2.3 % $</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7.3</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1.1 % $</w:t>
            </w: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13.2</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1.9 % $</w:t>
            </w:r>
          </w:p>
        </w:tc>
        <w:tc>
          <w:tcPr>
            <w:tcW w:w="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20.5</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7"/>
              </w:rPr>
              <w:t>3.0 %</w:t>
            </w:r>
          </w:p>
        </w:tc>
      </w:tr>
      <w:tr>
        <w:trPr>
          <w:trHeight w:val="185"/>
        </w:trPr>
        <w:tc>
          <w:tcPr>
            <w:tcW w:w="1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3.8</w:t>
            </w:r>
          </w:p>
        </w:tc>
        <w:tc>
          <w:tcPr>
            <w:tcW w:w="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0.6</w:t>
            </w: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1.8</w:t>
            </w: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0.3</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0.9</w:t>
            </w:r>
          </w:p>
        </w:tc>
        <w:tc>
          <w:tcPr>
            <w:tcW w:w="9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3.2</w:t>
            </w: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0.5</w:t>
            </w:r>
          </w:p>
        </w:tc>
        <w:tc>
          <w:tcPr>
            <w:tcW w:w="7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2.4</w:t>
            </w:r>
          </w:p>
        </w:tc>
        <w:tc>
          <w:tcPr>
            <w:tcW w:w="8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0.4</w:t>
            </w:r>
          </w:p>
        </w:tc>
        <w:tc>
          <w:tcPr>
            <w:tcW w:w="6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5.6</w:t>
            </w:r>
          </w:p>
        </w:tc>
        <w:tc>
          <w:tcPr>
            <w:tcW w:w="7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0.8</w:t>
            </w:r>
          </w:p>
        </w:tc>
      </w:tr>
      <w:tr>
        <w:trPr>
          <w:trHeight w:val="192"/>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9.0</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1.4 % $</w:t>
            </w:r>
          </w:p>
        </w:tc>
        <w:tc>
          <w:tcPr>
            <w:tcW w:w="7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11.2</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1.8 % $</w:t>
            </w: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20.2</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3.2 % $</w:t>
            </w:r>
          </w:p>
        </w:tc>
        <w:tc>
          <w:tcPr>
            <w:tcW w:w="9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10.5</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1.5 % $</w:t>
            </w:r>
          </w:p>
        </w:tc>
        <w:tc>
          <w:tcPr>
            <w:tcW w:w="7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15.6</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2.3 % $</w:t>
            </w:r>
          </w:p>
        </w:tc>
        <w:tc>
          <w:tcPr>
            <w:tcW w:w="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26.1</w:t>
            </w:r>
          </w:p>
        </w:tc>
        <w:tc>
          <w:tcPr>
            <w:tcW w:w="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7"/>
              </w:rPr>
              <w:t>3.8 %</w:t>
            </w:r>
          </w:p>
        </w:tc>
      </w:tr>
    </w:tbl>
    <w:p>
      <w:pPr>
        <w:spacing w:after="0" w:line="278" w:lineRule="exact"/>
        <w:rPr>
          <w:sz w:val="20"/>
          <w:szCs w:val="20"/>
          <w:color w:val="auto"/>
        </w:rPr>
      </w:pPr>
    </w:p>
    <w:p>
      <w:pPr>
        <w:jc w:val="both"/>
        <w:ind w:right="20" w:firstLine="461"/>
        <w:spacing w:after="0" w:line="262" w:lineRule="auto"/>
        <w:rPr>
          <w:sz w:val="20"/>
          <w:szCs w:val="20"/>
          <w:color w:val="auto"/>
        </w:rPr>
      </w:pPr>
      <w:r>
        <w:rPr>
          <w:rFonts w:ascii="Times New Roman" w:cs="Times New Roman" w:eastAsia="Times New Roman" w:hAnsi="Times New Roman"/>
          <w:sz w:val="17"/>
          <w:szCs w:val="17"/>
          <w:color w:val="auto"/>
        </w:rPr>
        <w:t>Expansion lodge and village spending in 2025 was primarily related to final costs associated with the reactivation of our Buffalo Lodge in Canada, as well as purchases supporting new contracts at our integrated services business and the Qantac Acquisition in Australia. Expansion lodge and village spending in 2024 was primarily related to costs associated with the customer-supported reactivation of our Buffalo Lodge in Canada and customer-funded infrastructure upgrades at three Australian villages.</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Maintenance lodge and village spending in 2025 and 2024 was primarily associated with routine maintenance projects at our major properties.</w:t>
      </w:r>
    </w:p>
    <w:p>
      <w:pPr>
        <w:spacing w:after="0" w:line="240" w:lineRule="exact"/>
        <w:rPr>
          <w:sz w:val="20"/>
          <w:szCs w:val="20"/>
          <w:color w:val="auto"/>
        </w:rPr>
      </w:pPr>
    </w:p>
    <w:p>
      <w:pPr>
        <w:jc w:val="both"/>
        <w:ind w:right="20" w:firstLine="461"/>
        <w:spacing w:after="0" w:line="259" w:lineRule="auto"/>
        <w:rPr>
          <w:sz w:val="20"/>
          <w:szCs w:val="20"/>
          <w:color w:val="auto"/>
        </w:rPr>
      </w:pPr>
      <w:r>
        <w:rPr>
          <w:rFonts w:ascii="Times New Roman" w:cs="Times New Roman" w:eastAsia="Times New Roman" w:hAnsi="Times New Roman"/>
          <w:sz w:val="17"/>
          <w:szCs w:val="17"/>
          <w:color w:val="auto"/>
        </w:rPr>
        <w:t>Other maintenance and expansion spending in 2025 was primarily related to Wi-Fi infrastructure at certain Australian villages, miscellaneous equipment and supplies to support the day-to-day operations at our accommodation facilities and information technology infrastructure to support our business. Other maintenance and expansion spending in 2024 was primarily related to miscellaneous equipment and supplies to support the day-to-day operations at our accommodation and laundry facilities, purchases to support new contacts at our integrated services business in Australia and information technology infrastructure to support our business.</w:t>
      </w:r>
    </w:p>
    <w:p>
      <w:pPr>
        <w:spacing w:after="0" w:line="200" w:lineRule="exact"/>
        <w:rPr>
          <w:sz w:val="20"/>
          <w:szCs w:val="20"/>
          <w:color w:val="auto"/>
        </w:rPr>
      </w:pPr>
    </w:p>
    <w:p>
      <w:pPr>
        <w:jc w:val="both"/>
        <w:ind w:right="20" w:firstLine="461"/>
        <w:spacing w:after="0" w:line="259" w:lineRule="auto"/>
        <w:rPr>
          <w:sz w:val="20"/>
          <w:szCs w:val="20"/>
          <w:color w:val="auto"/>
        </w:rPr>
      </w:pPr>
      <w:r>
        <w:rPr>
          <w:rFonts w:ascii="Times New Roman" w:cs="Times New Roman" w:eastAsia="Times New Roman" w:hAnsi="Times New Roman"/>
          <w:sz w:val="17"/>
          <w:szCs w:val="17"/>
          <w:color w:val="auto"/>
        </w:rPr>
        <w:t>Cash provided by financing activities during 2025 of $74.7 million was primarily due to net borrowings under our revolving credit facilities of $132.8 million primarily to fund the Qantac Acquisition and share repurchases, partially offset by (i) repurchases of our common shares of $53.6 million, (ii) dividend payments of $3.4 million, (iii) payments to settle tax obligations of $0.6 million and (iv) debt issuance costs of $0.4 million. Cash used in financing activities during 2024 of $65.2 million was primarily due to (i) repurchases of our common shares of $29.6 million, (ii) net repayments under our revolving credit facilities of $17.1 million, (iii) dividend payments of $14.4 million, (iv) debt issuance costs of $3.0 million and (v) payments to settle tax obligations of $1.1 million.</w:t>
      </w:r>
    </w:p>
    <w:p>
      <w:pPr>
        <w:sectPr>
          <w:pgSz w:w="11900" w:h="16838" w:orient="portrait"/>
          <w:cols w:equalWidth="0" w:num="1">
            <w:col w:w="11260"/>
          </w:cols>
          <w:pgMar w:left="320" w:top="853" w:right="319" w:bottom="1440" w:gutter="0" w:footer="0" w:header="0"/>
        </w:sectPr>
      </w:pP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summarizes the changes in debt outstanding during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162560</wp:posOffset>
            </wp:positionV>
            <wp:extent cx="4244340" cy="138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44340" cy="138430"/>
                    </a:xfrm>
                    <a:prstGeom prst="rect">
                      <a:avLst/>
                    </a:prstGeom>
                    <a:noFill/>
                  </pic:spPr>
                </pic:pic>
              </a:graphicData>
            </a:graphic>
          </wp:anchor>
        </w:drawing>
      </w:r>
    </w:p>
    <w:p>
      <w:pPr>
        <w:spacing w:after="0" w:line="25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5"/>
          <w:szCs w:val="15"/>
          <w:color w:val="auto"/>
        </w:rPr>
        <w:t>Balance as of December 31, 2024</w:t>
      </w:r>
    </w:p>
    <w:p>
      <w:pPr>
        <w:spacing w:after="0" w:line="3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color w:val="auto"/>
        </w:rPr>
        <w:t>Borrowings under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20320</wp:posOffset>
            </wp:positionV>
            <wp:extent cx="4244340" cy="130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244340" cy="130175"/>
                    </a:xfrm>
                    <a:prstGeom prst="rect">
                      <a:avLst/>
                    </a:prstGeom>
                    <a:noFill/>
                  </pic:spPr>
                </pic:pic>
              </a:graphicData>
            </a:graphic>
          </wp:anchor>
        </w:drawing>
      </w:r>
    </w:p>
    <w:p>
      <w:pPr>
        <w:spacing w:after="0" w:line="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color w:val="auto"/>
        </w:rPr>
        <w:t>Repayments of borrowings under revolving credit facilities</w:t>
      </w:r>
    </w:p>
    <w:p>
      <w:pPr>
        <w:spacing w:after="0" w:line="3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5"/>
          <w:szCs w:val="15"/>
          <w:color w:val="auto"/>
        </w:rPr>
        <w:t>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20320</wp:posOffset>
            </wp:positionV>
            <wp:extent cx="424434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44340" cy="154305"/>
                    </a:xfrm>
                    <a:prstGeom prst="rect">
                      <a:avLst/>
                    </a:prstGeom>
                    <a:noFill/>
                  </pic:spPr>
                </pic:pic>
              </a:graphicData>
            </a:graphic>
          </wp:anchor>
        </w:drawing>
      </w:r>
    </w:p>
    <w:p>
      <w:pPr>
        <w:spacing w:after="0" w:line="51"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5"/>
          <w:szCs w:val="15"/>
          <w:color w:val="auto"/>
        </w:rPr>
        <w:t>Balance at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b w:val="1"/>
          <w:bCs w:val="1"/>
          <w:color w:val="auto"/>
        </w:rPr>
        <w:t>Total</w:t>
      </w:r>
    </w:p>
    <w:p>
      <w:pPr>
        <w:spacing w:after="0" w:line="49" w:lineRule="exact"/>
        <w:rPr>
          <w:sz w:val="20"/>
          <w:szCs w:val="20"/>
          <w:color w:val="auto"/>
        </w:rPr>
      </w:pPr>
    </w:p>
    <w:p>
      <w:pPr>
        <w:ind w:left="980" w:hanging="979"/>
        <w:spacing w:after="0"/>
        <w:tabs>
          <w:tab w:leader="none" w:pos="98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43,299</w:t>
      </w:r>
    </w:p>
    <w:p>
      <w:pPr>
        <w:spacing w:after="0" w:line="32" w:lineRule="exact"/>
        <w:rPr>
          <w:rFonts w:ascii="Times New Roman" w:cs="Times New Roman" w:eastAsia="Times New Roman" w:hAnsi="Times New Roman"/>
          <w:sz w:val="15"/>
          <w:szCs w:val="15"/>
          <w:color w:val="auto"/>
        </w:rPr>
      </w:pPr>
    </w:p>
    <w:p>
      <w:pPr>
        <w:ind w:left="9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330,131</w:t>
      </w:r>
    </w:p>
    <w:p>
      <w:pPr>
        <w:spacing w:after="0" w:line="32" w:lineRule="exact"/>
        <w:rPr>
          <w:sz w:val="20"/>
          <w:szCs w:val="20"/>
          <w:color w:val="auto"/>
        </w:rPr>
      </w:pPr>
    </w:p>
    <w:p>
      <w:pPr>
        <w:jc w:val="right"/>
        <w:ind w:right="2080"/>
        <w:spacing w:after="0"/>
        <w:rPr>
          <w:sz w:val="20"/>
          <w:szCs w:val="20"/>
          <w:color w:val="auto"/>
        </w:rPr>
      </w:pPr>
      <w:r>
        <w:rPr>
          <w:rFonts w:ascii="Times New Roman" w:cs="Times New Roman" w:eastAsia="Times New Roman" w:hAnsi="Times New Roman"/>
          <w:sz w:val="15"/>
          <w:szCs w:val="15"/>
          <w:color w:val="auto"/>
        </w:rPr>
        <w:t>(197,295)</w:t>
      </w:r>
    </w:p>
    <w:p>
      <w:pPr>
        <w:spacing w:after="0" w:line="32" w:lineRule="exact"/>
        <w:rPr>
          <w:sz w:val="20"/>
          <w:szCs w:val="20"/>
          <w:color w:val="auto"/>
        </w:rPr>
      </w:pPr>
    </w:p>
    <w:p>
      <w:pPr>
        <w:jc w:val="right"/>
        <w:ind w:right="2120"/>
        <w:spacing w:after="0"/>
        <w:rPr>
          <w:sz w:val="20"/>
          <w:szCs w:val="20"/>
          <w:color w:val="auto"/>
        </w:rPr>
      </w:pPr>
      <w:r>
        <w:rPr>
          <w:rFonts w:ascii="Times New Roman" w:cs="Times New Roman" w:eastAsia="Times New Roman" w:hAnsi="Times New Roman"/>
          <w:sz w:val="15"/>
          <w:szCs w:val="15"/>
          <w:color w:val="auto"/>
        </w:rPr>
        <w:t>6,707</w:t>
      </w:r>
    </w:p>
    <w:p>
      <w:pPr>
        <w:spacing w:after="0" w:line="45" w:lineRule="exact"/>
        <w:rPr>
          <w:sz w:val="20"/>
          <w:szCs w:val="20"/>
          <w:color w:val="auto"/>
        </w:rPr>
      </w:pPr>
    </w:p>
    <w:p>
      <w:pPr>
        <w:ind w:left="900" w:hanging="899"/>
        <w:spacing w:after="0"/>
        <w:tabs>
          <w:tab w:leader="none" w:pos="90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182,842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44450</wp:posOffset>
            </wp:positionV>
            <wp:extent cx="9353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7020" w:space="720"/>
            <w:col w:w="3520"/>
          </w:cols>
          <w:pgMar w:left="320" w:top="85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76200</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60"/>
          </w:cols>
          <w:pgMar w:left="320" w:top="853" w:right="319" w:bottom="1440" w:gutter="0" w:footer="0" w:header="0"/>
          <w:type w:val="continuous"/>
        </w:sectPr>
      </w:pPr>
    </w:p>
    <w:bookmarkStart w:id="57" w:name="page58"/>
    <w:bookmarkEnd w:id="57"/>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We believe that cash on hand and cash flow from operations will be sufficient to meet our anticipated liquidity needs for the next 12 months. If our plans or assumptions change, including as a result of changes in our customers' capital spending or changes in the price of and demand for natural resources, or are inaccurate, or if we make acquisitions, we may need to raise additional capital. Selectively pursuing strategic organic and inorganic growth opportunities that fit with our current capital allocation priorities of returning capital to shareholders has been, and our management believes will continue to be, an element of our long-term business strategy. The timing, size or success of any growth opportunities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8"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September 2024, our Board authorized a common share repurchase program (the Share Repurchase Program) to repurchase up to 5.0% of our total common shares which are issued and outstanding at that date, or 0.7 million common shares, over a twelve-month period. In March 2025, our Board authorized an increase to the Share Repurchase Program to repurchase up to 10.0% of our total common shares which are issued and outstanding at that date, or 1.4 million common shares, and in April 2025, our Board authorized a further increase to repurchase up to 20.0% of our total common shares which are issued and outstanding at that date, or approximately 2.7 million common shares (the 2025 Share Repurchase Program). The 2025 Share Repurchase Program does not expire.</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In addition, our Board declared quarterly dividends of $0.25 per common share to shareholders beginning in the third quarter of 2023 through the first quarter of 2025. Dividend payments of $3.4 million, $14.3 million and $7.4 million were made to shareholders in 2025, 2024 and 2023, respectively. These dividends are eligible dividends pursuant to the Income Tax Act (Canada). See Note 15 – Share Repurchase Programs and Dividends to the notes to the consolidated financial statements included in Item 8 of this annual report for further discussion.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As of December 31, 2025, the Credit Agreement provided for: (i) a $265.0 million revolving credit facility scheduled to mature on August 8, 2028, allocated as follows: (A) a $10.0 million senior secured revolving credit facility in favor of certain of our U.S. subsidiaries, as borrowers; (B) a $200.0 million senior secured revolving credit facility in favor of Civeo and certain of our U.S. subsidiaries, as borrowers; and (C) a $55.0 million senior secured revolving credit facility in favor of one of our Australian subsidiaries, as borrower.</w:t>
      </w:r>
    </w:p>
    <w:p>
      <w:pPr>
        <w:spacing w:after="0" w:line="19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As of December 31, 2025, we had outstanding letters of credit of zero under the U.S. facility, zero under the Australian facility and $0.9 million under the Canadian facility. We also had outstanding bank guarantees of A$1.4 million under the Australian facility.</w:t>
      </w:r>
    </w:p>
    <w:p>
      <w:pPr>
        <w:spacing w:after="0" w:line="17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See Note 10 - Debt to the notes to the consolidated financial statements in Item 8 of this annual report for the terms of the Credit Agreement and further discussion regarding our debt.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8" w:lineRule="exact"/>
        <w:rPr>
          <w:sz w:val="20"/>
          <w:szCs w:val="20"/>
          <w:color w:val="auto"/>
        </w:rPr>
      </w:pPr>
    </w:p>
    <w:p>
      <w:pPr>
        <w:jc w:val="both"/>
        <w:ind w:firstLine="521"/>
        <w:spacing w:after="0" w:line="256" w:lineRule="auto"/>
        <w:rPr>
          <w:sz w:val="20"/>
          <w:szCs w:val="20"/>
          <w:color w:val="auto"/>
        </w:rPr>
      </w:pPr>
      <w:r>
        <w:rPr>
          <w:rFonts w:ascii="Times New Roman" w:cs="Times New Roman" w:eastAsia="Times New Roman" w:hAnsi="Times New Roman"/>
          <w:sz w:val="17"/>
          <w:szCs w:val="17"/>
          <w:color w:val="auto"/>
        </w:rPr>
        <w:t>In April 2025, our Board suspended quarterly dividends on our common shares to prioritize returning capital to our shareholders through ongoing share repurchases. The declaration and amount of any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shares is limited by covenants in the Credit Agreement. Future agreements may also limit our ability to pay dividends, and we may incur incremental taxes if we are required to repatriate foreign earnings to pay such dividends. If any dividends are declared in the future, the amount per share of our dividend payments may be changed, or dividends may again be suspended, without advance notice. The likelihood that dividends will be reduced or suspended is increased during periods of market weakness. There can be no assurance that we will pay any dividends in the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1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consolidated financial statements in Item 8 of this annual report have been prepared in accordance with U.S. generally accepted accounting principles (GAAP), which require that management make numerous estimates and assumptions. Actual results could differ from those estimates and assumptions, thus impacting our reported results of operations and financial position. The critical accounting policies and estimates described in this section are those that are most important to the depiction of our financial condition and results of operations and the application of which requires management’s most subjective judgments in making estimates about the effect of matters that are inherently uncertain. We describe our significant accounting policies more fully in Note 2 - Summary of Significant Accounting Policies to the notes to consolidated financial statements in Item 8 of this annual report.</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Impairment of Definite-Lived Tangible and Intangible Assets</w:t>
      </w:r>
    </w:p>
    <w:p>
      <w:pPr>
        <w:spacing w:after="0" w:line="24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The recoverability of the carrying values of tangible and intangible assets is assessed at an asset group level which represents the lowest level for which identifiable cash flows are largely independent of the cash flows of other assets and liabilities. Whenever, in management’s judgment, we review our assets for impairment in step one when events or changes in circumstances indicate that the carrying value of such asset groups may not be recoverable based on estimated future cash flows, an asset impairment evaluation is performed. Indicators of impairment might include persistent and sustained negative economic trends affecting the markets we serve, recurring cash flow losses or significantly lowered expectations of future cash flows expected to be generated by our assets. As part of the initial step, we also reevaluate the remaining useful lives and salvage values of our assets when indicators of impairment exist.</w:t>
      </w:r>
    </w:p>
    <w:p>
      <w:pPr>
        <w:spacing w:after="0" w:line="1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 xml:space="preserve">Identification of Asset Groups – </w:t>
      </w:r>
      <w:r>
        <w:rPr>
          <w:rFonts w:ascii="Times New Roman" w:cs="Times New Roman" w:eastAsia="Times New Roman" w:hAnsi="Times New Roman"/>
          <w:sz w:val="17"/>
          <w:szCs w:val="17"/>
          <w:color w:val="auto"/>
        </w:rPr>
        <w:t>The following summarizes the asset groups that we have identified in each of our reporting segments.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Canada segment consists of numerous lodges, as well as our mobile assets. These properties are grouped in the following asset groups:</w:t>
      </w:r>
    </w:p>
    <w:p>
      <w:pPr>
        <w:spacing w:after="0" w:line="240" w:lineRule="exact"/>
        <w:rPr>
          <w:sz w:val="20"/>
          <w:szCs w:val="20"/>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Core Region</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Fort McMurray Village – North Athabasca</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Beaver River Lodge – North Athabasca</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Athabasca Lodge – North Athabasca</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Hudson and Borealis Lodges – North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Wapasu Creek Lodge – North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Grey Wolf Lodge - North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Conklin Lodge – South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Anzac Lodge – South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 Earth Lodge - South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Wabasca Lodge - South Athabasca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Sitka Lodge – Kitimat, British Columbia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Geetla camp – British Columbia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Antler River camp – Manitoba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59" w:name="page60"/>
    <w:bookmarkEnd w:id="59"/>
    <w:p>
      <w:pPr>
        <w:ind w:left="1080" w:hanging="309"/>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 Earth camp – Alberta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Christina Lake camp – Alberta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Mobile assets</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land holdings in British Columbia purchased in anticipation of potential LNG related projects</w:t>
      </w:r>
    </w:p>
    <w:p>
      <w:pPr>
        <w:spacing w:after="0" w:line="266"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general, the lodges are operated on a lodge-by-lodge basis. However, for one set of lodges (the Core Region, including Beaver River, Athabasca, Hudson and Borealis Lodges and Fort McMurray Village), there are no identifiable cash flows largely independent of the cash flows of other assets and liabilities for such lodges, and therefore, such lodges are combined into a single asset group. Factors such as proximity to each other, commonality of customers, common monitoring by management and operating decisions being made to optimize these lodges as a group result in these lodges being treated as a single asset group for the purposes of our impairment assessments.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Australia segment consists of various villages in several regions within the country, as well as our integrated services assets and land banked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properties are grouped in the following asset groups:</w:t>
      </w:r>
    </w:p>
    <w:p>
      <w:pPr>
        <w:spacing w:after="0" w:line="223" w:lineRule="exact"/>
        <w:rPr>
          <w:sz w:val="20"/>
          <w:szCs w:val="20"/>
          <w:color w:val="auto"/>
        </w:rPr>
      </w:pPr>
    </w:p>
    <w:p>
      <w:pPr>
        <w:ind w:left="1080" w:hanging="309"/>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Karratha – Pilbara Region, Western Australia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Integrated services – Assets held on client owned sites in Western Australia and South Australia</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Gunnedah Basin</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Narrabri – Gunnedah Basin, New South Wales</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Boggabri – Gunnedah Basin, New South Wales</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Bowen Basin</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Moranbah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Dysart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Nebo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Coppabella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Middlemount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Rosewood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Waratah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Vitrinite – Bowen Basin, Queensland</w:t>
      </w:r>
    </w:p>
    <w:p>
      <w:pPr>
        <w:spacing w:after="0" w:line="60" w:lineRule="exact"/>
        <w:rPr>
          <w:rFonts w:ascii="Times New Roman" w:cs="Times New Roman" w:eastAsia="Times New Roman" w:hAnsi="Times New Roman"/>
          <w:sz w:val="17"/>
          <w:szCs w:val="17"/>
          <w:color w:val="auto"/>
        </w:rPr>
      </w:pPr>
    </w:p>
    <w:p>
      <w:pPr>
        <w:ind w:left="1380" w:hanging="302"/>
        <w:spacing w:after="0"/>
        <w:tabs>
          <w:tab w:leader="none" w:pos="138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Acacia – Bowen Basin, Queensland</w:t>
      </w:r>
    </w:p>
    <w:p>
      <w:pPr>
        <w:spacing w:after="0" w:line="60" w:lineRule="exact"/>
        <w:rPr>
          <w:rFonts w:ascii="Times New Roman" w:cs="Times New Roman" w:eastAsia="Times New Roman" w:hAnsi="Times New Roman"/>
          <w:sz w:val="17"/>
          <w:szCs w:val="17"/>
          <w:color w:val="auto"/>
        </w:rPr>
      </w:pPr>
    </w:p>
    <w:p>
      <w:pPr>
        <w:ind w:left="1080" w:hanging="309"/>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non-operational sites acquired as part of Civeo’s land-banking strategy</w:t>
      </w:r>
    </w:p>
    <w:p>
      <w:pPr>
        <w:spacing w:after="0" w:line="342"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general, the villages are operated on a village-by-village basis, except for the villages located in the Bowen Basin (Moranbah, Dysart, Nebo, Coppabella, Middlemount, Rosewood, Waratah, Vitrinite and Acacia) and the Gunnedah Basin (Narrabri and Boggabri). The villages in the Bowen and Gunnedah Basins contain significant levels of interdependency that allow these assets to be combined into cash generating units (asset groups). Factors such as commonality of customers, location, resource basins served and common monitoring by management result in the Bowen and Gunnedah Basins to be treated as single asset groups for the purposes of our impairment assessments. Integrated services assets provide catering and managed services to the mining industry in Western Australia and South Australia.</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U.S. consists of a lodge, land and a wastewater treatment plant (WWTP). These properties are grouped in the following asset groups:</w:t>
      </w:r>
    </w:p>
    <w:p>
      <w:pPr>
        <w:spacing w:after="0" w:line="240" w:lineRule="exact"/>
        <w:rPr>
          <w:sz w:val="20"/>
          <w:szCs w:val="20"/>
          <w:color w:val="auto"/>
        </w:rPr>
      </w:pPr>
    </w:p>
    <w:p>
      <w:pPr>
        <w:ind w:left="920" w:hanging="30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Killdeer Lodge – North Dakota</w:t>
      </w:r>
    </w:p>
    <w:p>
      <w:pPr>
        <w:spacing w:after="0" w:line="60"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Killdeer WWTP – this asset group represents a WWTP in Killdeer, North Dakota, which was constructed in early 2014</w:t>
      </w:r>
    </w:p>
    <w:p>
      <w:pPr>
        <w:spacing w:after="0" w:line="338"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Recoverability Assessment </w:t>
      </w:r>
      <w:r>
        <w:rPr>
          <w:rFonts w:ascii="Times New Roman" w:cs="Times New Roman" w:eastAsia="Times New Roman" w:hAnsi="Times New Roman"/>
          <w:sz w:val="17"/>
          <w:szCs w:val="17"/>
          <w:color w:val="auto"/>
        </w:rPr>
        <w:t>– In performing an impairment analysis, the second step is to compare each asset group’s carrying value to estimates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undiscounted future direct cash flows associated with the asset group over the remaining useful life of the asset group's primary asset.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0" w:name="page61"/>
    <w:bookmarkEnd w:id="60"/>
    <w:p>
      <w:pPr>
        <w:jc w:val="both"/>
        <w:ind w:firstLine="461"/>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Fair Value Determination – </w:t>
      </w:r>
      <w:r>
        <w:rPr>
          <w:rFonts w:ascii="Times New Roman" w:cs="Times New Roman" w:eastAsia="Times New Roman" w:hAnsi="Times New Roman"/>
          <w:sz w:val="17"/>
          <w:szCs w:val="17"/>
          <w:color w:val="auto"/>
        </w:rPr>
        <w:t>If, based on the assessment, the carrying values of any of our asset groups are determined to not be recoverable as a result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undiscounted future cash flows not exceeding the net book value of the asset group, we proceed to the third step. In this step, we compare the fair value of the respective asset group to its carrying value. Our estimate of the fair value requires us to use significant unobservable inputs, representative of Level 3 fair value measurements, including numerous assumptions with respect to future circumstances, such as industry and/or local market conditions that might directly impact each of the asset groups’ operations in the future, and are therefore uncertain. In some cases our estimate of fair value is based on appraisals from third parties.</w:t>
      </w:r>
    </w:p>
    <w:p>
      <w:pPr>
        <w:spacing w:after="0" w:line="17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Our industry is cyclical and our estimates of the period over which future cash flows will be generated, as well as the predictability of these cash flows and our determination of whether a decline in value of our investment has occurred, can have a significant impact on the carrying value of these assets and, in periods of prolonged down cycles, may result in impairment losses. If this assessment indicates that the carrying values will not be recoverable, an impairment loss is recognized equal to the excess of the carrying value over the fair value of the asset group. The fair value of the asset group is based on prices of similar assets, if available, or discounted cash flows.</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In estimating future cash flows, we make numerous assumptions with respect to future circumstances that might directly impact each of the asset groups’ operations in the future and are therefore uncertain. These assumptions with respect to future circumstances include future oil and coal prices, anticipated customer spending, and industry and/or local market conditions. These assumptions represent our best judgment based on the current facts and circumstances. However, different assumptions could result in a determination that the carrying values of additional asset groups are no longer recoverable based on estimated future cash flows. Our estimate of fair value is primarily calculated using the Income Approach, which derives a present value of the asset group based on the asset groups’ estimated future cash flows. We discounted our estimated future cash flows using a long-term weighted average cost of capital based on our estimate of investment returns required by a market participant.</w:t>
      </w:r>
    </w:p>
    <w:p>
      <w:pPr>
        <w:spacing w:after="0" w:line="205"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See Note 4 – Impairment Charges to the notes to consolidated financial statements in Item 8 of this annual report for further discussion of impairments of definite-lived tangible and intangible assets recorded in the years ended December 31, 2025, 2024 and 2023.</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Revenue and Cost Recognition</w:t>
      </w:r>
    </w:p>
    <w:p>
      <w:pPr>
        <w:spacing w:after="0" w:line="220"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when a customer stays in our rooms or when the services are rendered. In some contracts, rates may vary over the contract term. In these cases, revenue may be deferred and recognized on a straight-line basis over the contract term.</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Revenues exclude taxes assessed based on revenues such as sales or value added taxes.</w:t>
      </w:r>
    </w:p>
    <w:p>
      <w:pPr>
        <w:spacing w:after="0" w:line="214"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Cost of services includes labor, food, utility costs, cleaning supplies, and other costs of operating our accommodations assets. Cost of goods sold includes all direct material and labor costs and those costs related to contract performance, such as indirect labor, supplies, tools and repairs. Selling, general and administrative costs are charged to expense as incurred.</w:t>
      </w:r>
    </w:p>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follow the liability method of accounting for income taxes in accordance with current accounting standards regarding the accounting for income taxes. Under this method, deferred income taxes are recorded based upon the differences between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1" w:name="page62"/>
    <w:bookmarkEnd w:id="61"/>
    <w:p>
      <w:pPr>
        <w:jc w:val="both"/>
        <w:spacing w:after="0" w:line="284" w:lineRule="auto"/>
        <w:rPr>
          <w:sz w:val="20"/>
          <w:szCs w:val="20"/>
          <w:color w:val="auto"/>
        </w:rPr>
      </w:pPr>
      <w:r>
        <w:rPr>
          <w:rFonts w:ascii="Times New Roman" w:cs="Times New Roman" w:eastAsia="Times New Roman" w:hAnsi="Times New Roman"/>
          <w:sz w:val="17"/>
          <w:szCs w:val="17"/>
          <w:color w:val="auto"/>
        </w:rPr>
        <w:t>financial reporting and tax bases of assets and liabilities and are measured using the enacted tax rates and laws in effect at the time the underlying assets or liabilities are recovered or settled.</w:t>
      </w:r>
    </w:p>
    <w:p>
      <w:pPr>
        <w:spacing w:after="0" w:line="15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When our earnings from foreign subsidiaries are considered to be indefinitely reinvested, no provision for Canadian income taxes is made for these earnings. If any of the subsidiaries have a distribution of earnings in the form of dividends or otherwise, we could be subject to both Canadian income taxes (subject to an adjustment for foreign tax credits) and withholding taxes payable to various foreign countries.</w:t>
      </w:r>
    </w:p>
    <w:p>
      <w:pPr>
        <w:spacing w:after="0" w:line="167"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record a valuation allowance in each reporting period when our management believes that it is more likely than not that any recorded deferred tax asset will not be realized. Our management will continue to evaluate the appropriateness of the valuation allowance in the future, based upon our current and historical operating results and other potential sources of future taxable income. See Note 13 – Income Taxes to the notes to consolidated financial statements in Item 8 of this annual report for further discussion.</w:t>
      </w:r>
    </w:p>
    <w:p>
      <w:pPr>
        <w:spacing w:after="0" w:line="19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accounting for income taxes, we are required to estimate a liability for future income taxes for any uncertainty for potential income tax exposures. The calculation of our tax liabilities involves dealing with uncertainties in the application of complex tax regulations. We recognize liabilities for anticipated tax audit issues in Canada and other tax jurisdictions based on our estimate of whether, and the extent to which, additional taxes will be due, including an accrual of interest and penalties, if applicable, related to the unrecognized tax benefits. If we ultimately determine that payment of these amounts is unnecessary, we reverse the liability and recognize a tax benefit during the period in which we determine that the liability is no longer necessary. We record an additional charge in our provision for taxes in the period in which we determine that the recorded tax liability is less than we expect the ultimate assessment to be.</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46"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See Note 2 – Summary of Significant Accounting Policies – Recent Accounting Pronouncements to the notes to consolidated financial statements in Item 8 of this annual report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principal market risks are our exposure to changes in interest rates and foreign currency exchange rates.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21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have credit facilities that are subject to the risk of higher interest charges associated with increases in interest rates. As of December 31, 2025, we had $182.8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$1.8 million annually, based on our floating-rate debt obligations and interest rates in effect as of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218"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C$9 million and A$245 million, respectively, at December 31, 2025. We use a sensitivity analysis model to measure the impact of a 10% adverse movement of foreign currency exchange rates against the U.S. dollar. A hypothetical 10% adverse change in the value of the Canadian dollar and Australian dollar relative to the U.S. dollar as of December 31, 2025, would result in translation adjustments of approximately $1 million and $25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8. </w:t>
      </w:r>
      <w:r>
        <w:rPr>
          <w:rFonts w:ascii="Times New Roman" w:cs="Times New Roman" w:eastAsia="Times New Roman" w:hAnsi="Times New Roman"/>
          <w:sz w:val="17"/>
          <w:szCs w:val="17"/>
          <w:b w:val="1"/>
          <w:bCs w:val="1"/>
          <w:i w:val="1"/>
          <w:iCs w:val="1"/>
          <w:color w:val="auto"/>
        </w:rPr>
        <w:t>Financial Statements and Supplementary Data</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Our Consolidated Financial Statements and supplementary data appear on pages 68 through 102 of this Annual Report on Form 10-K and are incorporated by reference into this Item 8.</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There were no changes in or disagreements on any matters of accounting principles or financial statement disclosure between us and our independent auditors during our two most recent years or any subsequent interim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(i) Evaluation of Disclosure Controls and Procedures</w:t>
      </w:r>
    </w:p>
    <w:p>
      <w:pPr>
        <w:spacing w:after="0" w:line="21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Securities and Exchange Commission. Based upon that evaluation, our Chief Executive Officer and Chief Financial Officer concluded that our disclosure controls and procedures were effective as of December 31, 2025, at the reasonable assurance level.</w:t>
      </w: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(ii) Internal Control Over Financial Reporting</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(a) Management's annual report on internal control over financial reporting.</w:t>
      </w:r>
    </w:p>
    <w:p>
      <w:pPr>
        <w:spacing w:after="0" w:line="218"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consolidated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management and our directors, and (iii) provide reasonable assurance regarding prevention or timely detection of unauthorized acquisition, use or disposition of our assets that could have a material effect on the consolidated financial statements.</w:t>
      </w:r>
    </w:p>
    <w:p>
      <w:pPr>
        <w:spacing w:after="0" w:line="176"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Accordingly, even effective internal control over financial reporting can only provide reasonable assurance of achieving their control objectives.</w:t>
      </w:r>
    </w:p>
    <w:p>
      <w:pPr>
        <w:spacing w:after="0" w:line="171"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and Chief Financial Officer, an assessment of the effectiveness of our internal control over financial reporting as of December 31, 2025 was conducted. In making this assessment, management used the criteria set forth by the Committee of Sponsoring Organizations of the Treadway Commission (COSO) in Internal Control–Integrated Framework (2013 Framework). Based on our assessment we believe that, as of December 31, 2025, our internal control over financial reporting is effective based on those criteria.</w:t>
      </w:r>
    </w:p>
    <w:p>
      <w:pPr>
        <w:spacing w:after="0" w:line="1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 Attestation report of the registered public accounting firm.</w:t>
      </w:r>
    </w:p>
    <w:p>
      <w:pPr>
        <w:spacing w:after="0" w:line="21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attestation report of Ernst &amp; Young LLP, our independent registered public accounting firm, on our internal control over financial reporting is set forth in this annual report on page 71 and is incorporated herein by reference.</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(c) Changes in internal control over financial reporting.</w:t>
      </w:r>
    </w:p>
    <w:p>
      <w:pPr>
        <w:spacing w:after="0" w:line="21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During the three months ended December 31, 2025,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847" w:right="1440" w:bottom="1440" w:gutter="0" w:footer="0" w:header="0"/>
        </w:sectPr>
      </w:pPr>
    </w:p>
    <w:bookmarkStart w:id="64" w:name="page65"/>
    <w:bookmarkEnd w:id="64"/>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10. </w:t>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information required by Item 10 hereby is incorporated by reference to such information as set forth in the Company's Definitive Proxy Statement for the 2026 Annual General Meeting of Shareholders.</w:t>
      </w:r>
    </w:p>
    <w:p>
      <w:pPr>
        <w:spacing w:after="0" w:line="152"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Board of the Company has documented its governance practices by adopting several corporate governance policies. These governance policies, including the Company's Corporate Governance Guidelines, Corporate Code of Business Conduct and Ethics and Financial Code of Ethics for Senior Officers, as well as the charters for the committees of the Board (Audit Committee, Compensation Committee, Finance and Investment Committee and Environmental, Social, Governance and Nominating Committee) may also be viewed at the Company's website. The Financial Code of Ethics for Senior Officers applies to our principal executive officer, principal financial officer, principal accounting officer and certain other senior officers. We intend to disclose any amendments to or waivers from our Financial Code of Ethics for Senior Officers by posting such information on our website at www.civeo.com within four business days following the date of the amendment or waiver. Copies of such documents will be sent to shareholders free of charge upon written request to the corporate secretary at the address shown on the cover page of this annual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information required by Item 11 hereby is incorporated by reference to such information as set forth in the Company's Definitive Proxy Statement for the 2026 Annual General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Shareholder Matters</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information required by Item 12 hereby is incorporated by reference to such information as set forth in the Company's Definitive Proxy Statement for the 2026 Annual General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13. </w:t>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information required by Item 13 hereby is incorporated by reference to such information as set forth in the Company's Definitive Proxy Statement for the 2026 Annual General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14. </w:t>
      </w:r>
      <w:r>
        <w:rPr>
          <w:rFonts w:ascii="Times New Roman" w:cs="Times New Roman" w:eastAsia="Times New Roman" w:hAnsi="Times New Roman"/>
          <w:sz w:val="17"/>
          <w:szCs w:val="17"/>
          <w:b w:val="1"/>
          <w:bCs w:val="1"/>
          <w:i w:val="1"/>
          <w:iCs w:val="1"/>
          <w:color w:val="auto"/>
        </w:rPr>
        <w:t>Principal Accounting Fees and Services</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The information required by Item 14 hereby is incorporated by reference to such information as set forth in the Company's Definitive Proxy Statement for the 2026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5" w:name="page66"/>
    <w:bookmarkEnd w:id="65"/>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Financial Statement Schedules</w:t>
      </w:r>
    </w:p>
    <w:p>
      <w:pPr>
        <w:spacing w:after="0" w:line="216" w:lineRule="exact"/>
        <w:rPr>
          <w:sz w:val="20"/>
          <w:szCs w:val="20"/>
          <w:color w:val="auto"/>
        </w:rPr>
      </w:pPr>
    </w:p>
    <w:p>
      <w:pPr>
        <w:ind w:left="400" w:hanging="244"/>
        <w:spacing w:after="0"/>
        <w:tabs>
          <w:tab w:leader="none" w:pos="40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Index to Financial Statements, Financial Statement Schedules and Exhibits</w:t>
      </w:r>
    </w:p>
    <w:p>
      <w:pPr>
        <w:spacing w:after="0" w:line="214" w:lineRule="exact"/>
        <w:rPr>
          <w:rFonts w:ascii="Times New Roman" w:cs="Times New Roman" w:eastAsia="Times New Roman" w:hAnsi="Times New Roman"/>
          <w:sz w:val="17"/>
          <w:szCs w:val="17"/>
          <w:i w:val="1"/>
          <w:iCs w:val="1"/>
          <w:color w:val="auto"/>
        </w:rPr>
      </w:pPr>
    </w:p>
    <w:p>
      <w:pPr>
        <w:ind w:left="620" w:hanging="233"/>
        <w:spacing w:after="0"/>
        <w:tabs>
          <w:tab w:leader="none" w:pos="6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Reference is made to the index set forth on page 68 of this Annual Report on Form 10-K.</w:t>
      </w:r>
    </w:p>
    <w:p>
      <w:pPr>
        <w:spacing w:after="0" w:line="214" w:lineRule="exact"/>
        <w:rPr>
          <w:rFonts w:ascii="Times New Roman" w:cs="Times New Roman" w:eastAsia="Times New Roman" w:hAnsi="Times New Roman"/>
          <w:sz w:val="17"/>
          <w:szCs w:val="17"/>
          <w:color w:val="auto"/>
        </w:rPr>
      </w:pPr>
    </w:p>
    <w:p>
      <w:pPr>
        <w:ind w:firstLine="387"/>
        <w:spacing w:after="0" w:line="289" w:lineRule="auto"/>
        <w:tabs>
          <w:tab w:leader="none" w:pos="651"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Financial Statement Schedules: </w:t>
      </w:r>
      <w:r>
        <w:rPr>
          <w:rFonts w:ascii="Times New Roman" w:cs="Times New Roman" w:eastAsia="Times New Roman" w:hAnsi="Times New Roman"/>
          <w:sz w:val="17"/>
          <w:szCs w:val="17"/>
          <w:color w:val="auto"/>
        </w:rPr>
        <w:t>No schedules have been included herein because the information required to be submitted has been included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Consolidated Financial Statements or the Notes thereto, or the required information is inapplicable.</w:t>
      </w:r>
    </w:p>
    <w:p>
      <w:pPr>
        <w:spacing w:after="0" w:line="143" w:lineRule="exact"/>
        <w:rPr>
          <w:rFonts w:ascii="Times New Roman" w:cs="Times New Roman" w:eastAsia="Times New Roman" w:hAnsi="Times New Roman"/>
          <w:sz w:val="17"/>
          <w:szCs w:val="17"/>
          <w:color w:val="auto"/>
        </w:rPr>
      </w:pPr>
    </w:p>
    <w:p>
      <w:pPr>
        <w:ind w:firstLine="387"/>
        <w:spacing w:after="0" w:line="289" w:lineRule="auto"/>
        <w:tabs>
          <w:tab w:leader="none" w:pos="62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Index of Exhibits: </w:t>
      </w:r>
      <w:r>
        <w:rPr>
          <w:rFonts w:ascii="Times New Roman" w:cs="Times New Roman" w:eastAsia="Times New Roman" w:hAnsi="Times New Roman"/>
          <w:sz w:val="17"/>
          <w:szCs w:val="17"/>
          <w:color w:val="auto"/>
        </w:rPr>
        <w:t>See Index of Exhibits, below, for a list of those exhibits filed herewith, which index also includes and identifies management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compensatory plans or arrangements required to be filed as exhibits to this Annual Report on Form 10-K by Item 601 of Regulation S-K.</w:t>
      </w:r>
    </w:p>
    <w:p>
      <w:pPr>
        <w:spacing w:after="0" w:line="143" w:lineRule="exact"/>
        <w:rPr>
          <w:rFonts w:ascii="Times New Roman" w:cs="Times New Roman" w:eastAsia="Times New Roman" w:hAnsi="Times New Roman"/>
          <w:sz w:val="17"/>
          <w:szCs w:val="17"/>
          <w:color w:val="auto"/>
        </w:rPr>
      </w:pPr>
    </w:p>
    <w:p>
      <w:pPr>
        <w:ind w:left="620" w:hanging="464"/>
        <w:spacing w:after="0"/>
        <w:tabs>
          <w:tab w:leader="none" w:pos="62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Index of Exhibits</w:t>
      </w:r>
    </w:p>
    <w:p>
      <w:pPr>
        <w:spacing w:after="0" w:line="270"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780" w:type="dxa"/>
            <w:vAlign w:val="bottom"/>
            <w:gridSpan w:val="20"/>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0"/>
        </w:trPr>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2.1</w:t>
            </w:r>
          </w:p>
        </w:tc>
        <w:tc>
          <w:tcPr>
            <w:tcW w:w="520" w:type="dxa"/>
            <w:vAlign w:val="bottom"/>
          </w:tcPr>
          <w:p>
            <w:pPr>
              <w:spacing w:after="0"/>
              <w:rPr>
                <w:sz w:val="24"/>
                <w:szCs w:val="24"/>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Asset Sale and Purchase Agreement, dated February 18, 2025, between Civeo Pty Ltd, the sellers party thereto and</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17"/>
          </w:tcPr>
          <w:p>
            <w:pPr>
              <w:spacing w:after="0" w:line="147"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Graham William Cleary, as seller guarantor (incorporated herein by reference to Exhibit 2.3 to the Annual Report on Form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40" w:type="dxa"/>
            <w:vAlign w:val="bottom"/>
            <w:gridSpan w:val="19"/>
          </w:tcPr>
          <w:p>
            <w:pPr>
              <w:spacing w:after="0" w:line="159"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10-K (File No. 001-36246) filed on February 27,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0"/>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3.1</w:t>
            </w:r>
          </w:p>
        </w:tc>
        <w:tc>
          <w:tcPr>
            <w:tcW w:w="520" w:type="dxa"/>
            <w:vAlign w:val="bottom"/>
          </w:tcPr>
          <w:p>
            <w:pPr>
              <w:spacing w:after="0"/>
              <w:rPr>
                <w:sz w:val="24"/>
                <w:szCs w:val="24"/>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Notice of Articles of Civeo Corporation, as amended (incorporated herein by reference to Exhibit 3.1 to the Current</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54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Report on Form 8-K (File No. 001-36246) filed on April 2, 2018).</w:t>
              </w:r>
            </w:hyperlink>
          </w:p>
        </w:tc>
        <w:tc>
          <w:tcPr>
            <w:tcW w:w="39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58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520" w:type="dxa"/>
            <w:vAlign w:val="bottom"/>
          </w:tcPr>
          <w:p>
            <w:pPr>
              <w:spacing w:after="0"/>
              <w:rPr>
                <w:sz w:val="24"/>
                <w:szCs w:val="24"/>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Certification of Amendment to the Notice of Articles of Civeo Corporation (incorporated herein by reference to Exhibit</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180" w:type="dxa"/>
            <w:vAlign w:val="bottom"/>
            <w:tcBorders>
              <w:top w:val="single" w:sz="8" w:color="0000FF"/>
            </w:tcBorders>
            <w:gridSpan w:val="13"/>
          </w:tcPr>
          <w:p>
            <w:pPr>
              <w:spacing w:after="0" w:line="147"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the Current Report on Form 8-K (File No. 001-36246) filed on November 20, 2020).</w:t>
              </w:r>
            </w:hyperlink>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520" w:type="dxa"/>
            <w:vAlign w:val="bottom"/>
          </w:tcPr>
          <w:p>
            <w:pPr>
              <w:spacing w:after="0"/>
              <w:rPr>
                <w:sz w:val="22"/>
                <w:szCs w:val="22"/>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Amended and Restated Articles of Civeo Corporation (incorporated herein by reference to Exhibit 3.1 to the Current</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380" w:type="dxa"/>
            <w:vAlign w:val="bottom"/>
            <w:tcBorders>
              <w:top w:val="single" w:sz="8" w:color="0000FF"/>
            </w:tcBorders>
            <w:gridSpan w:val="16"/>
          </w:tcPr>
          <w:p>
            <w:pPr>
              <w:spacing w:after="0" w:line="147"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Report on Form 8-K (File No. 001-36246) filed on May 21, 2024).</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4.1</w:t>
            </w:r>
          </w:p>
        </w:tc>
        <w:tc>
          <w:tcPr>
            <w:tcW w:w="520" w:type="dxa"/>
            <w:vAlign w:val="bottom"/>
          </w:tcPr>
          <w:p>
            <w:pPr>
              <w:spacing w:after="0"/>
              <w:rPr>
                <w:sz w:val="24"/>
                <w:szCs w:val="24"/>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Form of Common Share Certificate (incorporated herein by reference to Exhibit 4.1 to the Current Report on Form 8-</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500" w:type="dxa"/>
            <w:vAlign w:val="bottom"/>
            <w:tcBorders>
              <w:top w:val="single" w:sz="8" w:color="0000FF"/>
            </w:tcBorders>
            <w:gridSpan w:val="22"/>
          </w:tcPr>
          <w:p>
            <w:pPr>
              <w:spacing w:after="0" w:line="147"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K12B (File No. 001-36246) filed on July 17, 2015).</w:t>
              </w:r>
            </w:hyperlink>
          </w:p>
        </w:tc>
        <w:tc>
          <w:tcPr>
            <w:tcW w:w="20" w:type="dxa"/>
            <w:vAlign w:val="bottom"/>
          </w:tcPr>
          <w:p>
            <w:pPr>
              <w:spacing w:after="0"/>
              <w:rPr>
                <w:sz w:val="12"/>
                <w:szCs w:val="12"/>
                <w:color w:val="auto"/>
              </w:rPr>
            </w:pPr>
          </w:p>
        </w:tc>
      </w:tr>
      <w:tr>
        <w:trPr>
          <w:trHeight w:val="20"/>
        </w:trPr>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9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4.2</w:t>
            </w:r>
          </w:p>
        </w:tc>
        <w:tc>
          <w:tcPr>
            <w:tcW w:w="520" w:type="dxa"/>
            <w:vAlign w:val="bottom"/>
          </w:tcPr>
          <w:p>
            <w:pPr>
              <w:spacing w:after="0"/>
              <w:rPr>
                <w:sz w:val="24"/>
                <w:szCs w:val="24"/>
                <w:color w:val="auto"/>
              </w:rPr>
            </w:pPr>
          </w:p>
        </w:tc>
        <w:tc>
          <w:tcPr>
            <w:tcW w:w="8520" w:type="dxa"/>
            <w:vAlign w:val="bottom"/>
            <w:gridSpan w:val="23"/>
          </w:tcPr>
          <w:p>
            <w:pPr>
              <w:spacing w:after="0"/>
              <w:rPr>
                <w:rFonts w:ascii="Times New Roman" w:cs="Times New Roman" w:eastAsia="Times New Roman" w:hAnsi="Times New Roman"/>
                <w:sz w:val="17"/>
                <w:szCs w:val="17"/>
                <w:color w:val="0000FF"/>
              </w:rPr>
            </w:pPr>
            <w:hyperlink r:id="rId88">
              <w:r>
                <w:rPr>
                  <w:rFonts w:ascii="Times New Roman" w:cs="Times New Roman" w:eastAsia="Times New Roman" w:hAnsi="Times New Roman"/>
                  <w:sz w:val="17"/>
                  <w:szCs w:val="17"/>
                  <w:color w:val="0000FF"/>
                </w:rPr>
                <w:t>Description of Securities (incorporated herein by reference to Exhibit 4.3 to the Annual Report on Form 10-K (File No.</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80" w:type="dxa"/>
            <w:vAlign w:val="bottom"/>
            <w:tcBorders>
              <w:top w:val="single" w:sz="8" w:color="0000FF"/>
              <w:bottom w:val="single" w:sz="8" w:color="0000FF"/>
            </w:tcBorders>
          </w:tcPr>
          <w:p>
            <w:pPr>
              <w:spacing w:after="0" w:line="147"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001-36246) filed on February 27, 2025).</w:t>
              </w:r>
            </w:hyperlink>
          </w:p>
        </w:tc>
        <w:tc>
          <w:tcPr>
            <w:tcW w:w="5640" w:type="dxa"/>
            <w:vAlign w:val="bottom"/>
            <w:tcBorders>
              <w:top w:val="single" w:sz="8" w:color="0000FF"/>
            </w:tcBorders>
            <w:gridSpan w:val="17"/>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62"/>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8520" w:type="dxa"/>
            <w:vAlign w:val="bottom"/>
            <w:gridSpan w:val="23"/>
          </w:tcPr>
          <w:p>
            <w:pPr>
              <w:spacing w:after="0"/>
              <w:rPr>
                <w:rFonts w:ascii="Times New Roman" w:cs="Times New Roman" w:eastAsia="Times New Roman" w:hAnsi="Times New Roman"/>
                <w:sz w:val="17"/>
                <w:szCs w:val="17"/>
                <w:color w:val="0000FF"/>
              </w:rPr>
            </w:pPr>
            <w:hyperlink r:id="rId89">
              <w:r>
                <w:rPr>
                  <w:rFonts w:ascii="Times New Roman" w:cs="Times New Roman" w:eastAsia="Times New Roman" w:hAnsi="Times New Roman"/>
                  <w:sz w:val="17"/>
                  <w:szCs w:val="17"/>
                  <w:color w:val="0000FF"/>
                </w:rPr>
                <w:t>Form of Indemnification Agreement (incorporated herein by reference to Exhibit 10.1 to the Current Report on Form 8-</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60" w:type="dxa"/>
            <w:vAlign w:val="bottom"/>
            <w:tcBorders>
              <w:top w:val="single" w:sz="8" w:color="0000FF"/>
            </w:tcBorders>
            <w:gridSpan w:val="20"/>
          </w:tcPr>
          <w:p>
            <w:pPr>
              <w:spacing w:after="0" w:line="147"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K12B (File No. 001-36246) filed on July 17, 2015).</w:t>
              </w:r>
            </w:hyperlink>
          </w:p>
        </w:tc>
        <w:tc>
          <w:tcPr>
            <w:tcW w:w="60" w:type="dxa"/>
            <w:vAlign w:val="bottom"/>
            <w:gridSpan w:val="3"/>
          </w:tcPr>
          <w:p>
            <w:pPr>
              <w:spacing w:after="0"/>
              <w:rPr>
                <w:sz w:val="12"/>
                <w:szCs w:val="12"/>
                <w:color w:val="auto"/>
              </w:rPr>
            </w:pPr>
          </w:p>
        </w:tc>
      </w:tr>
      <w:tr>
        <w:trPr>
          <w:trHeight w:val="20"/>
        </w:trPr>
        <w:tc>
          <w:tcPr>
            <w:tcW w:w="1340" w:type="dxa"/>
            <w:vAlign w:val="bottom"/>
            <w:gridSpan w:val="2"/>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62"/>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8520" w:type="dxa"/>
            <w:vAlign w:val="bottom"/>
            <w:gridSpan w:val="23"/>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Amended and Restated 2014 Equity Participation Plan of Civeo Corporation, as amended by Amendment No. 1,</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80" w:type="dxa"/>
            <w:vAlign w:val="bottom"/>
            <w:tcBorders>
              <w:top w:val="single" w:sz="8" w:color="0000FF"/>
              <w:bottom w:val="single" w:sz="8" w:color="0000FF"/>
            </w:tcBorders>
            <w:gridSpan w:val="11"/>
          </w:tcPr>
          <w:p>
            <w:pPr>
              <w:spacing w:after="0" w:line="147"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Amendment No. 2, Amendment No. 3 and Amendment No. 4 (incorporated by reference to Appendix B to Civeo</w:t>
              </w:r>
            </w:hyperlink>
          </w:p>
        </w:tc>
        <w:tc>
          <w:tcPr>
            <w:tcW w:w="60" w:type="dxa"/>
            <w:vAlign w:val="bottom"/>
            <w:tcBorders>
              <w:bottom w:val="single" w:sz="8" w:color="0000FF"/>
            </w:tcBorders>
          </w:tcPr>
          <w:p>
            <w:pPr>
              <w:spacing w:after="0"/>
              <w:rPr>
                <w:sz w:val="12"/>
                <w:szCs w:val="12"/>
                <w:color w:val="auto"/>
              </w:rPr>
            </w:pPr>
          </w:p>
        </w:tc>
        <w:tc>
          <w:tcPr>
            <w:tcW w:w="5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8"/>
          </w:tcPr>
          <w:p>
            <w:pPr>
              <w:spacing w:after="0"/>
              <w:rPr>
                <w:sz w:val="12"/>
                <w:szCs w:val="12"/>
                <w:color w:val="auto"/>
              </w:rPr>
            </w:pPr>
          </w:p>
        </w:tc>
      </w:tr>
      <w:tr>
        <w:trPr>
          <w:trHeight w:val="159"/>
        </w:trPr>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740" w:type="dxa"/>
            <w:vAlign w:val="bottom"/>
            <w:tcBorders>
              <w:bottom w:val="single" w:sz="8" w:color="0000FF"/>
            </w:tcBorders>
            <w:gridSpan w:val="3"/>
          </w:tcPr>
          <w:p>
            <w:pPr>
              <w:spacing w:after="0" w:line="159"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Corporation's Schedule 14A filed on March 31, 2023).</w:t>
              </w:r>
            </w:hyperlink>
          </w:p>
        </w:tc>
        <w:tc>
          <w:tcPr>
            <w:tcW w:w="4000" w:type="dxa"/>
            <w:vAlign w:val="bottom"/>
            <w:gridSpan w:val="9"/>
          </w:tcPr>
          <w:p>
            <w:pPr>
              <w:spacing w:after="0"/>
              <w:rPr>
                <w:sz w:val="13"/>
                <w:szCs w:val="13"/>
                <w:color w:val="auto"/>
              </w:rPr>
            </w:pPr>
          </w:p>
        </w:tc>
        <w:tc>
          <w:tcPr>
            <w:tcW w:w="5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8"/>
          </w:tcPr>
          <w:p>
            <w:pPr>
              <w:spacing w:after="0"/>
              <w:rPr>
                <w:sz w:val="13"/>
                <w:szCs w:val="13"/>
                <w:color w:val="auto"/>
              </w:rPr>
            </w:pPr>
          </w:p>
        </w:tc>
      </w:tr>
      <w:tr>
        <w:trPr>
          <w:trHeight w:val="249"/>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8520" w:type="dxa"/>
            <w:vAlign w:val="bottom"/>
            <w:gridSpan w:val="23"/>
          </w:tcPr>
          <w:p>
            <w:pPr>
              <w:spacing w:after="0"/>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Performance Share Award Program under the 2014 Equity Participation Plan (incorporated herein by reference to Exhibit</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9"/>
          </w:tcPr>
          <w:p>
            <w:pPr>
              <w:spacing w:after="0" w:line="147"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10.</w:t>
              </w:r>
              <w:r>
                <w:rPr>
                  <w:rFonts w:ascii="Times New Roman" w:cs="Times New Roman" w:eastAsia="Times New Roman" w:hAnsi="Times New Roman"/>
                  <w:sz w:val="16"/>
                  <w:szCs w:val="16"/>
                  <w:u w:val="single" w:color="auto"/>
                  <w:color w:val="0000FF"/>
                </w:rPr>
                <w:t>3</w:t>
              </w:r>
              <w:r>
                <w:rPr>
                  <w:rFonts w:ascii="Times New Roman" w:cs="Times New Roman" w:eastAsia="Times New Roman" w:hAnsi="Times New Roman"/>
                  <w:sz w:val="16"/>
                  <w:szCs w:val="16"/>
                  <w:color w:val="0000FF"/>
                </w:rPr>
                <w:t xml:space="preserve"> to the Annual Report on Form 10-K (File No. 001-36246) filed on February 26, 2021).</w:t>
              </w:r>
            </w:hyperlink>
          </w:p>
        </w:tc>
        <w:tc>
          <w:tcPr>
            <w:tcW w:w="202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8"/>
          </w:tcPr>
          <w:p>
            <w:pPr>
              <w:spacing w:after="0"/>
              <w:rPr>
                <w:sz w:val="12"/>
                <w:szCs w:val="12"/>
                <w:color w:val="auto"/>
              </w:rPr>
            </w:pPr>
          </w:p>
        </w:tc>
      </w:tr>
      <w:tr>
        <w:trPr>
          <w:trHeight w:val="492"/>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8520" w:type="dxa"/>
            <w:vAlign w:val="bottom"/>
            <w:gridSpan w:val="23"/>
          </w:tcPr>
          <w:p>
            <w:pPr>
              <w:spacing w:after="0"/>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Form of Performance Share Award Agreement under the 2014 Equity Participation Plan (incorporated herein by reference</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0" w:type="dxa"/>
            <w:vAlign w:val="bottom"/>
            <w:tcBorders>
              <w:top w:val="single" w:sz="8" w:color="0000FF"/>
              <w:bottom w:val="single" w:sz="8" w:color="0000FF"/>
            </w:tcBorders>
            <w:gridSpan w:val="10"/>
          </w:tcPr>
          <w:p>
            <w:pPr>
              <w:spacing w:after="0" w:line="147" w:lineRule="exact"/>
              <w:rPr>
                <w:rFonts w:ascii="Times New Roman" w:cs="Times New Roman" w:eastAsia="Times New Roman" w:hAnsi="Times New Roman"/>
                <w:sz w:val="16"/>
                <w:szCs w:val="16"/>
                <w:color w:val="0000FF"/>
              </w:rPr>
            </w:pPr>
            <w:hyperlink r:id="rId92">
              <w:r>
                <w:rPr>
                  <w:rFonts w:ascii="Times New Roman" w:cs="Times New Roman" w:eastAsia="Times New Roman" w:hAnsi="Times New Roman"/>
                  <w:sz w:val="16"/>
                  <w:szCs w:val="16"/>
                  <w:color w:val="0000FF"/>
                </w:rPr>
                <w:t>to Exhibit 10.4 to the Annual Report on Form 10-K (File No. 001-36246) filed on February 26, 2021).</w:t>
              </w:r>
            </w:hyperlink>
          </w:p>
        </w:tc>
        <w:tc>
          <w:tcPr>
            <w:tcW w:w="1340" w:type="dxa"/>
            <w:vAlign w:val="bottom"/>
            <w:tcBorders>
              <w:top w:val="single" w:sz="8" w:color="0000FF"/>
            </w:tcBorders>
            <w:gridSpan w:val="5"/>
          </w:tcPr>
          <w:p>
            <w:pPr>
              <w:spacing w:after="0"/>
              <w:rPr>
                <w:sz w:val="12"/>
                <w:szCs w:val="12"/>
                <w:color w:val="auto"/>
              </w:rPr>
            </w:pPr>
          </w:p>
        </w:tc>
        <w:tc>
          <w:tcPr>
            <w:tcW w:w="180" w:type="dxa"/>
            <w:vAlign w:val="bottom"/>
            <w:gridSpan w:val="8"/>
          </w:tcPr>
          <w:p>
            <w:pPr>
              <w:spacing w:after="0"/>
              <w:rPr>
                <w:sz w:val="12"/>
                <w:szCs w:val="12"/>
                <w:color w:val="auto"/>
              </w:rPr>
            </w:pPr>
          </w:p>
        </w:tc>
      </w:tr>
      <w:tr>
        <w:trPr>
          <w:trHeight w:val="262"/>
        </w:trPr>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8520" w:type="dxa"/>
            <w:vAlign w:val="bottom"/>
            <w:gridSpan w:val="23"/>
          </w:tcPr>
          <w:p>
            <w:pPr>
              <w:spacing w:after="0"/>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Form of Civeo Corporation Annual Incentive Compensation Plan (incorporated herein by reference to Exhibit 10.7 to the</w:t>
              </w:r>
            </w:hyperlink>
          </w:p>
        </w:tc>
      </w:tr>
      <w:tr>
        <w:trPr>
          <w:trHeight w:val="146"/>
        </w:trPr>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20" w:type="dxa"/>
            <w:vAlign w:val="bottom"/>
            <w:tcBorders>
              <w:top w:val="single" w:sz="8" w:color="0000FF"/>
              <w:bottom w:val="single" w:sz="8" w:color="0000FF"/>
            </w:tcBorders>
            <w:gridSpan w:val="7"/>
          </w:tcPr>
          <w:p>
            <w:pPr>
              <w:spacing w:after="0" w:line="147" w:lineRule="exact"/>
              <w:rPr>
                <w:rFonts w:ascii="Times New Roman" w:cs="Times New Roman" w:eastAsia="Times New Roman" w:hAnsi="Times New Roman"/>
                <w:sz w:val="16"/>
                <w:szCs w:val="16"/>
                <w:color w:val="0000FF"/>
              </w:rPr>
            </w:pPr>
            <w:hyperlink r:id="rId93">
              <w:r>
                <w:rPr>
                  <w:rFonts w:ascii="Times New Roman" w:cs="Times New Roman" w:eastAsia="Times New Roman" w:hAnsi="Times New Roman"/>
                  <w:sz w:val="16"/>
                  <w:szCs w:val="16"/>
                  <w:color w:val="0000FF"/>
                </w:rPr>
                <w:t>Registration Statement on Form 10 (File No. 001-36246) filed on April 22, 2014).</w:t>
              </w:r>
            </w:hyperlink>
          </w:p>
        </w:tc>
        <w:tc>
          <w:tcPr>
            <w:tcW w:w="2800" w:type="dxa"/>
            <w:vAlign w:val="bottom"/>
            <w:tcBorders>
              <w:top w:val="single" w:sz="8" w:color="0000FF"/>
            </w:tcBorders>
            <w:gridSpan w:val="11"/>
          </w:tcPr>
          <w:p>
            <w:pPr>
              <w:spacing w:after="0"/>
              <w:rPr>
                <w:sz w:val="12"/>
                <w:szCs w:val="12"/>
                <w:color w:val="auto"/>
              </w:rPr>
            </w:pPr>
          </w:p>
        </w:tc>
        <w:tc>
          <w:tcPr>
            <w:tcW w:w="100" w:type="dxa"/>
            <w:vAlign w:val="bottom"/>
            <w:gridSpan w:val="5"/>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10.6†</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Canadian Long-Term Incentive Plan (incorporated herein by reference to Exhibit 10.8 to the Registration</w:t>
              </w:r>
            </w:hyperlink>
          </w:p>
        </w:tc>
      </w:tr>
      <w:tr>
        <w:trPr>
          <w:trHeight w:val="146"/>
        </w:trPr>
        <w:tc>
          <w:tcPr>
            <w:tcW w:w="206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Statement on Form 10 (File No. 001-36246) filed on April 22, 2014).</w:t>
              </w:r>
            </w:hyperlink>
          </w:p>
        </w:tc>
        <w:tc>
          <w:tcPr>
            <w:tcW w:w="38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10.7†</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Restricted Stock Agreement under the 2014 Equity Participation Plan of Civeo Corporation (incorporated herein</w:t>
              </w:r>
            </w:hyperlink>
          </w:p>
        </w:tc>
      </w:tr>
      <w:tr>
        <w:trPr>
          <w:trHeight w:val="146"/>
        </w:trPr>
        <w:tc>
          <w:tcPr>
            <w:tcW w:w="2060" w:type="dxa"/>
            <w:vAlign w:val="bottom"/>
          </w:tcPr>
          <w:p>
            <w:pPr>
              <w:spacing w:after="0"/>
              <w:rPr>
                <w:sz w:val="12"/>
                <w:szCs w:val="12"/>
                <w:color w:val="auto"/>
              </w:rPr>
            </w:pPr>
          </w:p>
        </w:tc>
        <w:tc>
          <w:tcPr>
            <w:tcW w:w="8460" w:type="dxa"/>
            <w:vAlign w:val="bottom"/>
            <w:tcBorders>
              <w:top w:val="single" w:sz="8" w:color="0000FF"/>
            </w:tcBorders>
            <w:gridSpan w:val="14"/>
          </w:tcPr>
          <w:p>
            <w:pPr>
              <w:spacing w:after="0" w:line="147"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by reference to Exhibit 10.10 to the Registration Statement on Form 10 (File No. 001-36246) filed on April 22, 2014).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10.8†</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Non-Employee Director Restricted Stock Agreement (incorporated herein by reference to Exhibit 10.11 to the</w:t>
              </w:r>
            </w:hyperlink>
          </w:p>
        </w:tc>
      </w:tr>
      <w:tr>
        <w:trPr>
          <w:trHeight w:val="146"/>
        </w:trPr>
        <w:tc>
          <w:tcPr>
            <w:tcW w:w="2060" w:type="dxa"/>
            <w:vAlign w:val="bottom"/>
          </w:tcPr>
          <w:p>
            <w:pPr>
              <w:spacing w:after="0"/>
              <w:rPr>
                <w:sz w:val="12"/>
                <w:szCs w:val="12"/>
                <w:color w:val="auto"/>
              </w:rPr>
            </w:pPr>
          </w:p>
        </w:tc>
        <w:tc>
          <w:tcPr>
            <w:tcW w:w="562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Registration Statement on Form 10 (File No. 001-36246) filed on April 22, 2014).</w:t>
              </w:r>
            </w:hyperlink>
          </w:p>
        </w:tc>
        <w:tc>
          <w:tcPr>
            <w:tcW w:w="3200" w:type="dxa"/>
            <w:vAlign w:val="bottom"/>
            <w:tcBorders>
              <w:top w:val="single" w:sz="8" w:color="0000FF"/>
            </w:tcBorders>
            <w:gridSpan w:val="2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10.9†</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Deferred Stock Agreement (Canada) (incorporated herein by reference to Exhibit 10.13 to the Registration</w:t>
              </w:r>
            </w:hyperlink>
          </w:p>
        </w:tc>
      </w:tr>
      <w:tr>
        <w:trPr>
          <w:trHeight w:val="146"/>
        </w:trPr>
        <w:tc>
          <w:tcPr>
            <w:tcW w:w="206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Statement on Form 10 (File No. 001-36246) filed on April 22, 2014).</w:t>
              </w:r>
            </w:hyperlink>
          </w:p>
        </w:tc>
        <w:tc>
          <w:tcPr>
            <w:tcW w:w="4060" w:type="dxa"/>
            <w:vAlign w:val="bottom"/>
            <w:tcBorders>
              <w:top w:val="single" w:sz="8" w:color="0000FF"/>
            </w:tcBorders>
            <w:gridSpan w:val="27"/>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10.10†</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of Executive Agreement of Bradley J. Dodson (incorporated herein by reference to Exhibit 10.14 to the Registration</w:t>
              </w:r>
            </w:hyperlink>
          </w:p>
        </w:tc>
      </w:tr>
      <w:tr>
        <w:trPr>
          <w:trHeight w:val="146"/>
        </w:trPr>
        <w:tc>
          <w:tcPr>
            <w:tcW w:w="2060" w:type="dxa"/>
            <w:vAlign w:val="bottom"/>
          </w:tcPr>
          <w:p>
            <w:pPr>
              <w:spacing w:after="0"/>
              <w:rPr>
                <w:sz w:val="12"/>
                <w:szCs w:val="12"/>
                <w:color w:val="auto"/>
              </w:rPr>
            </w:pPr>
          </w:p>
        </w:tc>
        <w:tc>
          <w:tcPr>
            <w:tcW w:w="474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Statement on Form 10 (File No. 001-36246) filed on April 22, 2014).</w:t>
              </w:r>
            </w:hyperlink>
          </w:p>
        </w:tc>
        <w:tc>
          <w:tcPr>
            <w:tcW w:w="382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10.11†</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Executive Agreement between Civeo Corporation and Peter McCann, dated August 17, 2015 (incorporated herein by</w:t>
              </w:r>
            </w:hyperlink>
          </w:p>
        </w:tc>
      </w:tr>
      <w:tr>
        <w:trPr>
          <w:trHeight w:val="146"/>
        </w:trPr>
        <w:tc>
          <w:tcPr>
            <w:tcW w:w="2060" w:type="dxa"/>
            <w:vAlign w:val="bottom"/>
          </w:tcPr>
          <w:p>
            <w:pPr>
              <w:spacing w:after="0"/>
              <w:rPr>
                <w:sz w:val="12"/>
                <w:szCs w:val="12"/>
                <w:color w:val="auto"/>
              </w:rPr>
            </w:pPr>
          </w:p>
        </w:tc>
        <w:tc>
          <w:tcPr>
            <w:tcW w:w="7480" w:type="dxa"/>
            <w:vAlign w:val="bottom"/>
            <w:tcBorders>
              <w:top w:val="single" w:sz="8" w:color="0000FF"/>
              <w:bottom w:val="single" w:sz="8" w:color="0000FF"/>
            </w:tcBorders>
            <w:gridSpan w:val="6"/>
          </w:tcPr>
          <w:p>
            <w:pPr>
              <w:spacing w:after="0" w:line="147"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reference to Exhibit 10.1 to the Current Report on Form 8-K (File No. 001-36246) filed on August 27, 2015).</w:t>
              </w:r>
            </w:hyperlink>
          </w:p>
        </w:tc>
        <w:tc>
          <w:tcPr>
            <w:tcW w:w="1060" w:type="dxa"/>
            <w:vAlign w:val="bottom"/>
            <w:tcBorders>
              <w:top w:val="single" w:sz="8" w:color="0000FF"/>
            </w:tcBorders>
            <w:gridSpan w:val="1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49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10.12†</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Variation to Executive Services Agreement dated August 17, 2015 between Peter McCann and Civeo Pty Ltd.</w:t>
              </w:r>
            </w:hyperlink>
          </w:p>
        </w:tc>
      </w:tr>
      <w:tr>
        <w:trPr>
          <w:trHeight w:val="146"/>
        </w:trPr>
        <w:tc>
          <w:tcPr>
            <w:tcW w:w="2060" w:type="dxa"/>
            <w:vAlign w:val="bottom"/>
          </w:tcPr>
          <w:p>
            <w:pPr>
              <w:spacing w:after="0"/>
              <w:rPr>
                <w:sz w:val="12"/>
                <w:szCs w:val="12"/>
                <w:color w:val="auto"/>
              </w:rPr>
            </w:pPr>
          </w:p>
        </w:tc>
        <w:tc>
          <w:tcPr>
            <w:tcW w:w="8680" w:type="dxa"/>
            <w:vAlign w:val="bottom"/>
            <w:tcBorders>
              <w:top w:val="single" w:sz="8" w:color="0000FF"/>
              <w:bottom w:val="single" w:sz="8" w:color="0000FF"/>
            </w:tcBorders>
            <w:gridSpan w:val="25"/>
          </w:tcPr>
          <w:p>
            <w:pPr>
              <w:spacing w:after="0" w:line="147"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(incorporated herein by reference to Exhibit 10.2 to the Current Report on Form 8-K (File No. 001-36246) filed on August</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700" w:type="dxa"/>
            <w:vAlign w:val="bottom"/>
            <w:tcBorders>
              <w:bottom w:val="single" w:sz="8" w:color="0000FF"/>
            </w:tcBorders>
          </w:tcPr>
          <w:p>
            <w:pPr>
              <w:spacing w:after="0" w:line="159" w:lineRule="exact"/>
              <w:rPr>
                <w:rFonts w:ascii="Times New Roman" w:cs="Times New Roman" w:eastAsia="Times New Roman" w:hAnsi="Times New Roman"/>
                <w:sz w:val="17"/>
                <w:szCs w:val="17"/>
                <w:color w:val="0000FF"/>
                <w:w w:val="97"/>
              </w:rPr>
            </w:pPr>
            <w:hyperlink r:id="rId101">
              <w:r>
                <w:rPr>
                  <w:rFonts w:ascii="Times New Roman" w:cs="Times New Roman" w:eastAsia="Times New Roman" w:hAnsi="Times New Roman"/>
                  <w:sz w:val="17"/>
                  <w:szCs w:val="17"/>
                  <w:color w:val="0000FF"/>
                  <w:w w:val="97"/>
                </w:rPr>
                <w:t>27, 2015).</w:t>
              </w:r>
            </w:hyperlink>
          </w:p>
        </w:tc>
        <w:tc>
          <w:tcPr>
            <w:tcW w:w="3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49"/>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10.13</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Syndicated Facility Agreement, dated as of September 8, 2021, by and among Civeo Corporation, Civeo Pty Limited and</w:t>
              </w:r>
            </w:hyperlink>
          </w:p>
        </w:tc>
      </w:tr>
      <w:tr>
        <w:trPr>
          <w:trHeight w:val="146"/>
        </w:trPr>
        <w:tc>
          <w:tcPr>
            <w:tcW w:w="2060" w:type="dxa"/>
            <w:vAlign w:val="bottom"/>
          </w:tcPr>
          <w:p>
            <w:pPr>
              <w:spacing w:after="0"/>
              <w:rPr>
                <w:sz w:val="12"/>
                <w:szCs w:val="12"/>
                <w:color w:val="auto"/>
              </w:rPr>
            </w:pPr>
          </w:p>
        </w:tc>
        <w:tc>
          <w:tcPr>
            <w:tcW w:w="8480" w:type="dxa"/>
            <w:vAlign w:val="bottom"/>
            <w:tcBorders>
              <w:top w:val="single" w:sz="8" w:color="0000FF"/>
              <w:bottom w:val="single" w:sz="8" w:color="0000FF"/>
            </w:tcBorders>
            <w:gridSpan w:val="15"/>
          </w:tcPr>
          <w:p>
            <w:pPr>
              <w:spacing w:after="0" w:line="147"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Civeo Management LLC, as Borrowers, the Lenders named therein, Royal Bank of Canada, as Administrative Agent, U.S.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740" w:type="dxa"/>
            <w:vAlign w:val="bottom"/>
            <w:gridSpan w:val="28"/>
          </w:tcPr>
          <w:p>
            <w:pPr>
              <w:spacing w:after="0" w:line="159"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Collateral Agent, Canadian Administrative Agent, Canadian Collateral Agent and an Issuing Bank and RBC Europe</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8440" w:type="dxa"/>
            <w:vAlign w:val="bottom"/>
            <w:tcBorders>
              <w:top w:val="single" w:sz="8" w:color="0000FF"/>
              <w:bottom w:val="single" w:sz="8" w:color="0000FF"/>
            </w:tcBorders>
            <w:gridSpan w:val="13"/>
          </w:tcPr>
          <w:p>
            <w:pPr>
              <w:spacing w:after="0" w:line="147"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Limited, as Australian Administrative Agent, Australian Collateral Agent and an Issuing Bank (incorporated herein by</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6"/>
        </w:trPr>
        <w:tc>
          <w:tcPr>
            <w:tcW w:w="2060" w:type="dxa"/>
            <w:vAlign w:val="bottom"/>
          </w:tcPr>
          <w:p>
            <w:pPr>
              <w:spacing w:after="0"/>
              <w:rPr>
                <w:sz w:val="12"/>
                <w:szCs w:val="12"/>
                <w:color w:val="auto"/>
              </w:rPr>
            </w:pPr>
          </w:p>
        </w:tc>
        <w:tc>
          <w:tcPr>
            <w:tcW w:w="7640" w:type="dxa"/>
            <w:vAlign w:val="bottom"/>
            <w:tcBorders>
              <w:bottom w:val="single" w:sz="8" w:color="0000FF"/>
            </w:tcBorders>
            <w:gridSpan w:val="8"/>
          </w:tcPr>
          <w:p>
            <w:pPr>
              <w:spacing w:after="0" w:line="147"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reference to Exhibit 10.1 to the Current Report on Form 8-K (File No. 001-36246) filed on September 8, 2021).</w:t>
              </w:r>
            </w:hyperlink>
          </w:p>
        </w:tc>
        <w:tc>
          <w:tcPr>
            <w:tcW w:w="1200" w:type="dxa"/>
            <w:vAlign w:val="bottom"/>
            <w:gridSpan w:val="2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313"/>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10.14</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First Amendment to Syndicated Facility Agreement, dated as of March 31, 2023, among Civeo Corporation, Civeo</w:t>
              </w:r>
            </w:hyperlink>
          </w:p>
        </w:tc>
      </w:tr>
      <w:tr>
        <w:trPr>
          <w:trHeight w:val="146"/>
        </w:trPr>
        <w:tc>
          <w:tcPr>
            <w:tcW w:w="2060" w:type="dxa"/>
            <w:vAlign w:val="bottom"/>
          </w:tcPr>
          <w:p>
            <w:pPr>
              <w:spacing w:after="0"/>
              <w:rPr>
                <w:sz w:val="12"/>
                <w:szCs w:val="12"/>
                <w:color w:val="auto"/>
              </w:rPr>
            </w:pPr>
          </w:p>
        </w:tc>
        <w:tc>
          <w:tcPr>
            <w:tcW w:w="8880" w:type="dxa"/>
            <w:vAlign w:val="bottom"/>
            <w:tcBorders>
              <w:top w:val="single" w:sz="8" w:color="0000FF"/>
            </w:tcBorders>
            <w:gridSpan w:val="35"/>
          </w:tcPr>
          <w:p>
            <w:pPr>
              <w:spacing w:after="0" w:line="147"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Management LLC and Civeo Pty Limited, as Borrowers, certain subsidiary guarantors of the Borrowers party thereto, the</w:t>
              </w:r>
            </w:hyperlink>
          </w:p>
        </w:tc>
        <w:tc>
          <w:tcPr>
            <w:tcW w:w="300" w:type="dxa"/>
            <w:vAlign w:val="bottom"/>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780" w:type="dxa"/>
            <w:vAlign w:val="bottom"/>
            <w:tcBorders>
              <w:top w:val="single" w:sz="8" w:color="0000FF"/>
            </w:tcBorders>
            <w:gridSpan w:val="30"/>
          </w:tcPr>
          <w:p>
            <w:pPr>
              <w:spacing w:after="0" w:line="159"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Lenders party thereto, the Issuing Banks, the Swing Line Lenders, Royal Bank of Canada, as administrative agent for the</w:t>
              </w:r>
            </w:hyperlink>
          </w:p>
        </w:tc>
        <w:tc>
          <w:tcPr>
            <w:tcW w:w="80" w:type="dxa"/>
            <w:vAlign w:val="bottom"/>
            <w:gridSpan w:val="4"/>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8420" w:type="dxa"/>
            <w:vAlign w:val="bottom"/>
            <w:tcBorders>
              <w:top w:val="single" w:sz="8" w:color="0000FF"/>
              <w:bottom w:val="single" w:sz="8" w:color="0000FF"/>
            </w:tcBorders>
            <w:gridSpan w:val="12"/>
          </w:tcPr>
          <w:p>
            <w:pPr>
              <w:spacing w:after="0" w:line="147"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U.S. Lenders, U.S. collateral agent, administrative agent for the Canadian Lenders and Canadian collateral agent and RBC</w:t>
              </w:r>
            </w:hyperlink>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320" w:type="dxa"/>
            <w:vAlign w:val="bottom"/>
            <w:gridSpan w:val="2"/>
          </w:tcPr>
          <w:p>
            <w:pPr>
              <w:spacing w:after="0"/>
              <w:rPr>
                <w:sz w:val="12"/>
                <w:szCs w:val="12"/>
                <w:color w:val="auto"/>
              </w:rPr>
            </w:pPr>
          </w:p>
        </w:tc>
      </w:tr>
      <w:tr>
        <w:trPr>
          <w:trHeight w:val="146"/>
        </w:trPr>
        <w:tc>
          <w:tcPr>
            <w:tcW w:w="2060" w:type="dxa"/>
            <w:vAlign w:val="bottom"/>
          </w:tcPr>
          <w:p>
            <w:pPr>
              <w:spacing w:after="0"/>
              <w:rPr>
                <w:sz w:val="12"/>
                <w:szCs w:val="12"/>
                <w:color w:val="auto"/>
              </w:rPr>
            </w:pPr>
          </w:p>
        </w:tc>
        <w:tc>
          <w:tcPr>
            <w:tcW w:w="8640" w:type="dxa"/>
            <w:vAlign w:val="bottom"/>
            <w:gridSpan w:val="23"/>
          </w:tcPr>
          <w:p>
            <w:pPr>
              <w:spacing w:after="0" w:line="147"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Europe Limited, as administrative agent for the Australian Lenders and Australian collateral agent (incorporated herein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320" w:type="dxa"/>
            <w:vAlign w:val="bottom"/>
            <w:gridSpan w:val="2"/>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800" w:type="dxa"/>
            <w:vAlign w:val="bottom"/>
            <w:tcBorders>
              <w:top w:val="single" w:sz="8" w:color="0000FF"/>
            </w:tcBorders>
            <w:gridSpan w:val="31"/>
          </w:tcPr>
          <w:p>
            <w:pPr>
              <w:spacing w:after="0" w:line="159"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reference to Exhibit 10.1 to the Quarterly Report on Form 10-K (File No. 001-36246) filed on April 28, 2023).</w:t>
              </w:r>
            </w:hyperlink>
          </w:p>
        </w:tc>
        <w:tc>
          <w:tcPr>
            <w:tcW w:w="60" w:type="dxa"/>
            <w:vAlign w:val="bottom"/>
            <w:gridSpan w:val="3"/>
          </w:tcPr>
          <w:p>
            <w:pPr>
              <w:spacing w:after="0"/>
              <w:rPr>
                <w:sz w:val="13"/>
                <w:szCs w:val="13"/>
                <w:color w:val="auto"/>
              </w:rPr>
            </w:pPr>
          </w:p>
        </w:tc>
        <w:tc>
          <w:tcPr>
            <w:tcW w:w="320" w:type="dxa"/>
            <w:vAlign w:val="bottom"/>
            <w:gridSpan w:val="2"/>
          </w:tcPr>
          <w:p>
            <w:pPr>
              <w:spacing w:after="0"/>
              <w:rPr>
                <w:sz w:val="13"/>
                <w:szCs w:val="13"/>
                <w:color w:val="auto"/>
              </w:rPr>
            </w:pPr>
          </w:p>
        </w:tc>
      </w:tr>
      <w:tr>
        <w:trPr>
          <w:trHeight w:val="20"/>
        </w:trPr>
        <w:tc>
          <w:tcPr>
            <w:tcW w:w="20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8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87"/>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10.15</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Second Amendment to Syndicated Facility Agreement, dated as of June 28, 2024, among Civeo Corporation, Civeo Pty</w:t>
              </w:r>
            </w:hyperlink>
          </w:p>
        </w:tc>
      </w:tr>
      <w:tr>
        <w:trPr>
          <w:trHeight w:val="146"/>
        </w:trPr>
        <w:tc>
          <w:tcPr>
            <w:tcW w:w="2060" w:type="dxa"/>
            <w:vAlign w:val="bottom"/>
          </w:tcPr>
          <w:p>
            <w:pPr>
              <w:spacing w:after="0"/>
              <w:rPr>
                <w:sz w:val="12"/>
                <w:szCs w:val="12"/>
                <w:color w:val="auto"/>
              </w:rPr>
            </w:pPr>
          </w:p>
        </w:tc>
        <w:tc>
          <w:tcPr>
            <w:tcW w:w="8660" w:type="dxa"/>
            <w:vAlign w:val="bottom"/>
            <w:tcBorders>
              <w:top w:val="single" w:sz="8" w:color="0000FF"/>
              <w:bottom w:val="single" w:sz="8" w:color="0000FF"/>
            </w:tcBorders>
            <w:gridSpan w:val="24"/>
          </w:tcPr>
          <w:p>
            <w:pPr>
              <w:spacing w:after="0" w:line="147"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Limited and Civeo Management LLC, as Borrowers, and Royal Bank of Canada, as Canadian administrative agent</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40" w:type="dxa"/>
            <w:vAlign w:val="bottom"/>
            <w:tcBorders>
              <w:bottom w:val="single" w:sz="8" w:color="0000FF"/>
            </w:tcBorders>
            <w:gridSpan w:val="7"/>
          </w:tcPr>
          <w:p>
            <w:pPr>
              <w:spacing w:after="0"/>
              <w:rPr>
                <w:sz w:val="12"/>
                <w:szCs w:val="12"/>
                <w:color w:val="auto"/>
              </w:rPr>
            </w:pPr>
          </w:p>
        </w:tc>
        <w:tc>
          <w:tcPr>
            <w:tcW w:w="320" w:type="dxa"/>
            <w:vAlign w:val="bottom"/>
            <w:gridSpan w:val="2"/>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860" w:type="dxa"/>
            <w:vAlign w:val="bottom"/>
            <w:gridSpan w:val="34"/>
          </w:tcPr>
          <w:p>
            <w:pPr>
              <w:spacing w:after="0" w:line="159"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(incorporated herein by reference to Exhibit 10.1 to the Quarterly Report on Form 10-Q (File No. 001-36246) filed on July</w:t>
              </w:r>
            </w:hyperlink>
          </w:p>
        </w:tc>
        <w:tc>
          <w:tcPr>
            <w:tcW w:w="320" w:type="dxa"/>
            <w:vAlign w:val="bottom"/>
            <w:gridSpan w:val="2"/>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7"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30, 2024).</w:t>
              </w:r>
            </w:hyperlink>
          </w:p>
        </w:tc>
        <w:tc>
          <w:tcPr>
            <w:tcW w:w="36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80" w:type="dxa"/>
            <w:vAlign w:val="bottom"/>
            <w:tcBorders>
              <w:top w:val="single" w:sz="8" w:color="0000FF"/>
            </w:tcBorders>
          </w:tcPr>
          <w:p>
            <w:pPr>
              <w:spacing w:after="0"/>
              <w:rPr>
                <w:sz w:val="12"/>
                <w:szCs w:val="12"/>
                <w:color w:val="auto"/>
              </w:rPr>
            </w:pPr>
          </w:p>
        </w:tc>
        <w:tc>
          <w:tcPr>
            <w:tcW w:w="18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300"/>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10.16</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Third Amendment to Syndicated Facility Agreement, dated as of August 8, 2024, among Civeo Corporation, Civeo Pty</w:t>
              </w:r>
            </w:hyperlink>
          </w:p>
        </w:tc>
      </w:tr>
      <w:tr>
        <w:trPr>
          <w:trHeight w:val="146"/>
        </w:trPr>
        <w:tc>
          <w:tcPr>
            <w:tcW w:w="2060" w:type="dxa"/>
            <w:vAlign w:val="bottom"/>
          </w:tcPr>
          <w:p>
            <w:pPr>
              <w:spacing w:after="0"/>
              <w:rPr>
                <w:sz w:val="12"/>
                <w:szCs w:val="12"/>
                <w:color w:val="auto"/>
              </w:rPr>
            </w:pPr>
          </w:p>
        </w:tc>
        <w:tc>
          <w:tcPr>
            <w:tcW w:w="8500" w:type="dxa"/>
            <w:vAlign w:val="bottom"/>
            <w:tcBorders>
              <w:top w:val="single" w:sz="8" w:color="0000FF"/>
              <w:bottom w:val="single" w:sz="8" w:color="0000FF"/>
            </w:tcBorders>
            <w:gridSpan w:val="16"/>
          </w:tcPr>
          <w:p>
            <w:pPr>
              <w:spacing w:after="0" w:line="147"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Limited, Civeo Management LLC and Civeo USA LLC, as Borrowers, certain subsidiary guarantors of the Borrowers</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9"/>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700" w:type="dxa"/>
            <w:vAlign w:val="bottom"/>
            <w:gridSpan w:val="26"/>
          </w:tcPr>
          <w:p>
            <w:pPr>
              <w:spacing w:after="0" w:line="159"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party thereto, the Lenders named therein, Royal Bank of Canada, as Administrative Agent, U.S. Collateral Agent and an</w:t>
              </w:r>
            </w:hyperlink>
          </w:p>
        </w:tc>
        <w:tc>
          <w:tcPr>
            <w:tcW w:w="20" w:type="dxa"/>
            <w:vAlign w:val="bottom"/>
          </w:tcPr>
          <w:p>
            <w:pPr>
              <w:spacing w:after="0"/>
              <w:rPr>
                <w:sz w:val="13"/>
                <w:szCs w:val="13"/>
                <w:color w:val="auto"/>
              </w:rPr>
            </w:pPr>
          </w:p>
        </w:tc>
        <w:tc>
          <w:tcPr>
            <w:tcW w:w="460" w:type="dxa"/>
            <w:vAlign w:val="bottom"/>
            <w:gridSpan w:val="9"/>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8400" w:type="dxa"/>
            <w:vAlign w:val="bottom"/>
            <w:tcBorders>
              <w:top w:val="single" w:sz="8" w:color="0000FF"/>
              <w:bottom w:val="single" w:sz="8" w:color="0000FF"/>
            </w:tcBorders>
            <w:gridSpan w:val="11"/>
          </w:tcPr>
          <w:p>
            <w:pPr>
              <w:spacing w:after="0" w:line="147"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Issuing Bank, RBC Europe Limited, as Australian Administrative Agent and Australian Collateral Agent, RBC Capital</w:t>
              </w:r>
            </w:hyperlink>
          </w:p>
        </w:tc>
        <w:tc>
          <w:tcPr>
            <w:tcW w:w="120" w:type="dxa"/>
            <w:vAlign w:val="bottom"/>
            <w:tcBorders>
              <w:bottom w:val="single" w:sz="8" w:color="0000FF"/>
            </w:tcBorders>
            <w:gridSpan w:val="6"/>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gridSpan w:val="5"/>
          </w:tcPr>
          <w:p>
            <w:pPr>
              <w:spacing w:after="0"/>
              <w:rPr>
                <w:sz w:val="12"/>
                <w:szCs w:val="12"/>
                <w:color w:val="auto"/>
              </w:rPr>
            </w:pPr>
          </w:p>
        </w:tc>
        <w:tc>
          <w:tcPr>
            <w:tcW w:w="460" w:type="dxa"/>
            <w:vAlign w:val="bottom"/>
            <w:gridSpan w:val="9"/>
          </w:tcPr>
          <w:p>
            <w:pPr>
              <w:spacing w:after="0"/>
              <w:rPr>
                <w:sz w:val="12"/>
                <w:szCs w:val="12"/>
                <w:color w:val="auto"/>
              </w:rPr>
            </w:pPr>
          </w:p>
        </w:tc>
      </w:tr>
      <w:tr>
        <w:trPr>
          <w:trHeight w:val="146"/>
        </w:trPr>
        <w:tc>
          <w:tcPr>
            <w:tcW w:w="2060" w:type="dxa"/>
            <w:vAlign w:val="bottom"/>
          </w:tcPr>
          <w:p>
            <w:pPr>
              <w:spacing w:after="0"/>
              <w:rPr>
                <w:sz w:val="12"/>
                <w:szCs w:val="12"/>
                <w:color w:val="auto"/>
              </w:rPr>
            </w:pPr>
          </w:p>
        </w:tc>
        <w:tc>
          <w:tcPr>
            <w:tcW w:w="8620" w:type="dxa"/>
            <w:vAlign w:val="bottom"/>
            <w:gridSpan w:val="22"/>
          </w:tcPr>
          <w:p>
            <w:pPr>
              <w:spacing w:after="0" w:line="147"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Markets, as Joint Lead Arranger and Bookrunner, and The Toronto-Dominion Bank and Bank of Montreal, as Joint Lead</w:t>
              </w:r>
            </w:hyperlink>
          </w:p>
        </w:tc>
        <w:tc>
          <w:tcPr>
            <w:tcW w:w="100" w:type="dxa"/>
            <w:vAlign w:val="bottom"/>
            <w:gridSpan w:val="5"/>
          </w:tcPr>
          <w:p>
            <w:pPr>
              <w:spacing w:after="0"/>
              <w:rPr>
                <w:sz w:val="12"/>
                <w:szCs w:val="12"/>
                <w:color w:val="auto"/>
              </w:rPr>
            </w:pPr>
          </w:p>
        </w:tc>
        <w:tc>
          <w:tcPr>
            <w:tcW w:w="460" w:type="dxa"/>
            <w:vAlign w:val="bottom"/>
            <w:gridSpan w:val="9"/>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760" w:type="dxa"/>
            <w:vAlign w:val="bottom"/>
            <w:tcBorders>
              <w:top w:val="single" w:sz="8" w:color="0000FF"/>
            </w:tcBorders>
            <w:gridSpan w:val="29"/>
          </w:tcPr>
          <w:p>
            <w:pPr>
              <w:spacing w:after="0" w:line="159"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Arrangers, Syndication Agents and Bookrunners (incorporated herein by reference to Exhibit 10.1 to the Quarterly Report</w:t>
              </w:r>
            </w:hyperlink>
          </w:p>
        </w:tc>
        <w:tc>
          <w:tcPr>
            <w:tcW w:w="420" w:type="dxa"/>
            <w:vAlign w:val="bottom"/>
            <w:gridSpan w:val="7"/>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8740" w:type="dxa"/>
            <w:vAlign w:val="bottom"/>
            <w:tcBorders>
              <w:top w:val="single" w:sz="8" w:color="0000FF"/>
            </w:tcBorders>
            <w:gridSpan w:val="28"/>
          </w:tcPr>
          <w:p>
            <w:pPr>
              <w:spacing w:after="0" w:line="147"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on Form 10-Q (File No. 001-36246) filed on October 30, 2024).</w:t>
              </w:r>
            </w:hyperlink>
          </w:p>
        </w:tc>
        <w:tc>
          <w:tcPr>
            <w:tcW w:w="440" w:type="dxa"/>
            <w:vAlign w:val="bottom"/>
            <w:gridSpan w:val="8"/>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300"/>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10.17</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First Incremental Amendment to Third Amendment to Syndicated Facility Agreement, dated as of March 24, 2025, among</w:t>
              </w:r>
            </w:hyperlink>
          </w:p>
        </w:tc>
      </w:tr>
      <w:tr>
        <w:trPr>
          <w:trHeight w:val="146"/>
        </w:trPr>
        <w:tc>
          <w:tcPr>
            <w:tcW w:w="2060" w:type="dxa"/>
            <w:vAlign w:val="bottom"/>
          </w:tcPr>
          <w:p>
            <w:pPr>
              <w:spacing w:after="0"/>
              <w:rPr>
                <w:sz w:val="12"/>
                <w:szCs w:val="12"/>
                <w:color w:val="auto"/>
              </w:rPr>
            </w:pPr>
          </w:p>
        </w:tc>
        <w:tc>
          <w:tcPr>
            <w:tcW w:w="8560" w:type="dxa"/>
            <w:vAlign w:val="bottom"/>
            <w:tcBorders>
              <w:top w:val="single" w:sz="8" w:color="0000FF"/>
              <w:bottom w:val="single" w:sz="8" w:color="0000FF"/>
            </w:tcBorders>
            <w:gridSpan w:val="19"/>
          </w:tcPr>
          <w:p>
            <w:pPr>
              <w:spacing w:after="0" w:line="147"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Civeo Corporation, Civeo Management LLC, Civeo USA LLC and Civeo Pty Limited CAN 003 657 510, as Borrowers,</w:t>
              </w:r>
            </w:hyperlink>
          </w:p>
        </w:tc>
        <w:tc>
          <w:tcPr>
            <w:tcW w:w="40" w:type="dxa"/>
            <w:vAlign w:val="bottom"/>
            <w:tcBorders>
              <w:bottom w:val="single" w:sz="8" w:color="0000FF"/>
            </w:tcBorders>
            <w:gridSpan w:val="2"/>
          </w:tcPr>
          <w:p>
            <w:pPr>
              <w:spacing w:after="0"/>
              <w:rPr>
                <w:sz w:val="12"/>
                <w:szCs w:val="12"/>
                <w:color w:val="auto"/>
              </w:rPr>
            </w:pPr>
          </w:p>
        </w:tc>
        <w:tc>
          <w:tcPr>
            <w:tcW w:w="120" w:type="dxa"/>
            <w:vAlign w:val="bottom"/>
            <w:tcBorders>
              <w:bottom w:val="single" w:sz="8" w:color="0000FF"/>
            </w:tcBorders>
            <w:gridSpan w:val="6"/>
          </w:tcPr>
          <w:p>
            <w:pPr>
              <w:spacing w:after="0"/>
              <w:rPr>
                <w:sz w:val="12"/>
                <w:szCs w:val="12"/>
                <w:color w:val="auto"/>
              </w:rPr>
            </w:pPr>
          </w:p>
        </w:tc>
        <w:tc>
          <w:tcPr>
            <w:tcW w:w="460" w:type="dxa"/>
            <w:vAlign w:val="bottom"/>
            <w:gridSpan w:val="9"/>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720" w:type="dxa"/>
            <w:vAlign w:val="bottom"/>
            <w:gridSpan w:val="27"/>
          </w:tcPr>
          <w:p>
            <w:pPr>
              <w:spacing w:after="0" w:line="15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the Subsidiary Guarantors of the Borrowers party thereto, Royal Bank of Canada, as administrative agent for the U.S.</w:t>
              </w:r>
            </w:hyperlink>
          </w:p>
        </w:tc>
        <w:tc>
          <w:tcPr>
            <w:tcW w:w="460" w:type="dxa"/>
            <w:vAlign w:val="bottom"/>
            <w:gridSpan w:val="9"/>
          </w:tcPr>
          <w:p>
            <w:pPr>
              <w:spacing w:after="0"/>
              <w:rPr>
                <w:sz w:val="13"/>
                <w:szCs w:val="13"/>
                <w:color w:val="auto"/>
              </w:rPr>
            </w:pPr>
          </w:p>
        </w:tc>
      </w:tr>
      <w:tr>
        <w:trPr>
          <w:trHeight w:val="146"/>
        </w:trPr>
        <w:tc>
          <w:tcPr>
            <w:tcW w:w="2060" w:type="dxa"/>
            <w:vAlign w:val="bottom"/>
          </w:tcPr>
          <w:p>
            <w:pPr>
              <w:spacing w:after="0"/>
              <w:rPr>
                <w:sz w:val="12"/>
                <w:szCs w:val="12"/>
                <w:color w:val="auto"/>
              </w:rPr>
            </w:pPr>
          </w:p>
        </w:tc>
        <w:tc>
          <w:tcPr>
            <w:tcW w:w="8460" w:type="dxa"/>
            <w:vAlign w:val="bottom"/>
            <w:tcBorders>
              <w:top w:val="single" w:sz="8" w:color="0000FF"/>
              <w:bottom w:val="single" w:sz="8" w:color="0000FF"/>
            </w:tcBorders>
            <w:gridSpan w:val="14"/>
          </w:tcPr>
          <w:p>
            <w:pPr>
              <w:spacing w:after="0" w:line="147"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Lenders and as administrative agent for the Canadian Lenders, RBC Europe Limited, as administrative agent for the</w:t>
              </w:r>
            </w:hyperlink>
          </w:p>
        </w:tc>
        <w:tc>
          <w:tcPr>
            <w:tcW w:w="60" w:type="dxa"/>
            <w:vAlign w:val="bottom"/>
            <w:tcBorders>
              <w:bottom w:val="single" w:sz="8" w:color="0000FF"/>
            </w:tcBorders>
            <w:gridSpan w:val="3"/>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580" w:type="dxa"/>
            <w:vAlign w:val="bottom"/>
            <w:gridSpan w:val="15"/>
          </w:tcPr>
          <w:p>
            <w:pPr>
              <w:spacing w:after="0"/>
              <w:rPr>
                <w:sz w:val="12"/>
                <w:szCs w:val="12"/>
                <w:color w:val="auto"/>
              </w:rPr>
            </w:pPr>
          </w:p>
        </w:tc>
      </w:tr>
      <w:tr>
        <w:trPr>
          <w:trHeight w:val="146"/>
        </w:trPr>
        <w:tc>
          <w:tcPr>
            <w:tcW w:w="2060" w:type="dxa"/>
            <w:vAlign w:val="bottom"/>
          </w:tcPr>
          <w:p>
            <w:pPr>
              <w:spacing w:after="0"/>
              <w:rPr>
                <w:sz w:val="12"/>
                <w:szCs w:val="12"/>
                <w:color w:val="auto"/>
              </w:rPr>
            </w:pPr>
          </w:p>
        </w:tc>
        <w:tc>
          <w:tcPr>
            <w:tcW w:w="8600" w:type="dxa"/>
            <w:vAlign w:val="bottom"/>
            <w:gridSpan w:val="21"/>
          </w:tcPr>
          <w:p>
            <w:pPr>
              <w:spacing w:after="0" w:line="147" w:lineRule="exact"/>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Australian Lenders, and the Australian Incremental Revolving Lender (as defined therein) (incorporated herein by</w:t>
              </w:r>
            </w:hyperlink>
          </w:p>
        </w:tc>
        <w:tc>
          <w:tcPr>
            <w:tcW w:w="580" w:type="dxa"/>
            <w:vAlign w:val="bottom"/>
            <w:gridSpan w:val="15"/>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8380" w:type="dxa"/>
            <w:vAlign w:val="bottom"/>
            <w:tcBorders>
              <w:top w:val="single" w:sz="8" w:color="0000FF"/>
            </w:tcBorders>
            <w:gridSpan w:val="10"/>
          </w:tcPr>
          <w:p>
            <w:pPr>
              <w:spacing w:after="0" w:line="159"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reference to Exhibit 10.1 to the Quarterly Report on Form 10-Q filed on April 30, 2025 (File No. 001-36246).</w:t>
              </w:r>
            </w:hyperlink>
          </w:p>
        </w:tc>
        <w:tc>
          <w:tcPr>
            <w:tcW w:w="140" w:type="dxa"/>
            <w:vAlign w:val="bottom"/>
            <w:gridSpan w:val="7"/>
          </w:tcPr>
          <w:p>
            <w:pPr>
              <w:spacing w:after="0"/>
              <w:rPr>
                <w:sz w:val="13"/>
                <w:szCs w:val="13"/>
                <w:color w:val="auto"/>
              </w:rPr>
            </w:pPr>
          </w:p>
        </w:tc>
        <w:tc>
          <w:tcPr>
            <w:tcW w:w="660" w:type="dxa"/>
            <w:vAlign w:val="bottom"/>
            <w:gridSpan w:val="19"/>
          </w:tcPr>
          <w:p>
            <w:pPr>
              <w:spacing w:after="0"/>
              <w:rPr>
                <w:sz w:val="13"/>
                <w:szCs w:val="13"/>
                <w:color w:val="auto"/>
              </w:rPr>
            </w:pPr>
          </w:p>
        </w:tc>
      </w:tr>
      <w:tr>
        <w:trPr>
          <w:trHeight w:val="20"/>
        </w:trPr>
        <w:tc>
          <w:tcPr>
            <w:tcW w:w="2060" w:type="dxa"/>
            <w:vAlign w:val="bottom"/>
          </w:tcPr>
          <w:p>
            <w:pPr>
              <w:spacing w:after="0" w:line="20" w:lineRule="exact"/>
              <w:rPr>
                <w:sz w:val="1"/>
                <w:szCs w:val="1"/>
                <w:color w:val="auto"/>
              </w:rPr>
            </w:pPr>
          </w:p>
        </w:tc>
        <w:tc>
          <w:tcPr>
            <w:tcW w:w="4420" w:type="dxa"/>
            <w:vAlign w:val="bottom"/>
            <w:gridSpan w:val="3"/>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020" w:type="dxa"/>
            <w:vAlign w:val="bottom"/>
            <w:gridSpan w:val="10"/>
          </w:tcPr>
          <w:p>
            <w:pPr>
              <w:spacing w:after="0" w:line="20" w:lineRule="exact"/>
              <w:rPr>
                <w:sz w:val="1"/>
                <w:szCs w:val="1"/>
                <w:color w:val="auto"/>
              </w:rPr>
            </w:pPr>
          </w:p>
        </w:tc>
        <w:tc>
          <w:tcPr>
            <w:tcW w:w="660" w:type="dxa"/>
            <w:vAlign w:val="bottom"/>
            <w:gridSpan w:val="19"/>
          </w:tcPr>
          <w:p>
            <w:pPr>
              <w:spacing w:after="0" w:line="20" w:lineRule="exact"/>
              <w:rPr>
                <w:sz w:val="1"/>
                <w:szCs w:val="1"/>
                <w:color w:val="auto"/>
              </w:rPr>
            </w:pPr>
          </w:p>
        </w:tc>
      </w:tr>
      <w:tr>
        <w:trPr>
          <w:trHeight w:val="287"/>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10.18</w:t>
            </w:r>
          </w:p>
        </w:tc>
        <w:tc>
          <w:tcPr>
            <w:tcW w:w="9180" w:type="dxa"/>
            <w:vAlign w:val="bottom"/>
            <w:gridSpan w:val="36"/>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Cooperation Agreement, dated November 25, 2025 (incorporated herein by reference to Exhibit 10.1 to the Current Report</w:t>
              </w:r>
            </w:hyperlink>
          </w:p>
        </w:tc>
      </w:tr>
      <w:tr>
        <w:trPr>
          <w:trHeight w:val="146"/>
        </w:trPr>
        <w:tc>
          <w:tcPr>
            <w:tcW w:w="2060" w:type="dxa"/>
            <w:vAlign w:val="bottom"/>
          </w:tcPr>
          <w:p>
            <w:pPr>
              <w:spacing w:after="0"/>
              <w:rPr>
                <w:sz w:val="12"/>
                <w:szCs w:val="12"/>
                <w:color w:val="auto"/>
              </w:rPr>
            </w:pPr>
          </w:p>
        </w:tc>
        <w:tc>
          <w:tcPr>
            <w:tcW w:w="8520" w:type="dxa"/>
            <w:vAlign w:val="bottom"/>
            <w:tcBorders>
              <w:top w:val="single" w:sz="8" w:color="0000FF"/>
            </w:tcBorders>
            <w:gridSpan w:val="17"/>
          </w:tcPr>
          <w:p>
            <w:pPr>
              <w:spacing w:after="0" w:line="147" w:lineRule="exact"/>
              <w:rPr>
                <w:rFonts w:ascii="Times New Roman" w:cs="Times New Roman" w:eastAsia="Times New Roman" w:hAnsi="Times New Roman"/>
                <w:sz w:val="16"/>
                <w:szCs w:val="16"/>
                <w:color w:val="0000FF"/>
              </w:rPr>
            </w:pPr>
            <w:hyperlink r:id="rId107">
              <w:r>
                <w:rPr>
                  <w:rFonts w:ascii="Times New Roman" w:cs="Times New Roman" w:eastAsia="Times New Roman" w:hAnsi="Times New Roman"/>
                  <w:sz w:val="16"/>
                  <w:szCs w:val="16"/>
                  <w:color w:val="0000FF"/>
                </w:rPr>
                <w:t>on Form 8-K filed on November 28, 2025 (File No. 001-36246).</w:t>
              </w:r>
            </w:hyperlink>
          </w:p>
        </w:tc>
        <w:tc>
          <w:tcPr>
            <w:tcW w:w="660" w:type="dxa"/>
            <w:vAlign w:val="bottom"/>
            <w:gridSpan w:val="19"/>
          </w:tcPr>
          <w:p>
            <w:pPr>
              <w:spacing w:after="0"/>
              <w:rPr>
                <w:sz w:val="12"/>
                <w:szCs w:val="12"/>
                <w:color w:val="auto"/>
              </w:rPr>
            </w:pPr>
          </w:p>
        </w:tc>
      </w:tr>
      <w:tr>
        <w:trPr>
          <w:trHeight w:val="903"/>
        </w:trPr>
        <w:tc>
          <w:tcPr>
            <w:tcW w:w="2060" w:type="dxa"/>
            <w:vAlign w:val="bottom"/>
          </w:tcPr>
          <w:p>
            <w:pPr>
              <w:spacing w:after="0"/>
              <w:rPr>
                <w:sz w:val="24"/>
                <w:szCs w:val="24"/>
                <w:color w:val="auto"/>
              </w:rPr>
            </w:pPr>
          </w:p>
        </w:tc>
        <w:tc>
          <w:tcPr>
            <w:tcW w:w="4380" w:type="dxa"/>
            <w:vAlign w:val="bottom"/>
            <w:tcBorders>
              <w:top w:val="single" w:sz="8" w:color="0000FF"/>
            </w:tcBorders>
            <w:gridSpan w:val="2"/>
          </w:tcPr>
          <w:p>
            <w:pPr>
              <w:ind w:left="3480"/>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07"/>
        </w:trPr>
        <w:tc>
          <w:tcPr>
            <w:tcW w:w="20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10.19†</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of Director Deferred Share Agreement (United States) (incorporated herein by reference to Exhibit 10.32 to the</w:t>
              </w:r>
            </w:hyperlink>
          </w:p>
        </w:tc>
      </w:tr>
      <w:tr>
        <w:trPr>
          <w:trHeight w:val="146"/>
        </w:trPr>
        <w:tc>
          <w:tcPr>
            <w:tcW w:w="2060" w:type="dxa"/>
            <w:vAlign w:val="bottom"/>
          </w:tcPr>
          <w:p>
            <w:pPr>
              <w:spacing w:after="0"/>
              <w:rPr>
                <w:sz w:val="12"/>
                <w:szCs w:val="12"/>
                <w:color w:val="auto"/>
              </w:rPr>
            </w:pPr>
          </w:p>
        </w:tc>
        <w:tc>
          <w:tcPr>
            <w:tcW w:w="8500" w:type="dxa"/>
            <w:vAlign w:val="bottom"/>
            <w:tcBorders>
              <w:top w:val="single" w:sz="8" w:color="0000FF"/>
            </w:tcBorders>
            <w:gridSpan w:val="23"/>
          </w:tcPr>
          <w:p>
            <w:pPr>
              <w:spacing w:after="0" w:line="147"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Annual Report on Form 10-K for the year ended December 31, 2018 (File No. 001-36246).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10.20†</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Form of Director Deferred Share Agreement (Canada) (incorporated herein by reference to Exhibit 10.33 to the Annual</w:t>
              </w:r>
            </w:hyperlink>
          </w:p>
        </w:tc>
      </w:tr>
      <w:tr>
        <w:trPr>
          <w:trHeight w:val="146"/>
        </w:trPr>
        <w:tc>
          <w:tcPr>
            <w:tcW w:w="2060" w:type="dxa"/>
            <w:vAlign w:val="bottom"/>
          </w:tcPr>
          <w:p>
            <w:pPr>
              <w:spacing w:after="0"/>
              <w:rPr>
                <w:sz w:val="12"/>
                <w:szCs w:val="12"/>
                <w:color w:val="auto"/>
              </w:rPr>
            </w:pPr>
          </w:p>
        </w:tc>
        <w:tc>
          <w:tcPr>
            <w:tcW w:w="5700" w:type="dxa"/>
            <w:vAlign w:val="bottom"/>
            <w:tcBorders>
              <w:top w:val="single" w:sz="8" w:color="0000FF"/>
              <w:bottom w:val="single" w:sz="8" w:color="0000FF"/>
            </w:tcBorders>
            <w:gridSpan w:val="9"/>
          </w:tcPr>
          <w:p>
            <w:pPr>
              <w:spacing w:after="0" w:line="147"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Report on Form 10-K for the year ended December 31, 2018 (File No. 001-36246).</w:t>
              </w:r>
            </w:hyperlink>
          </w:p>
        </w:tc>
        <w:tc>
          <w:tcPr>
            <w:tcW w:w="28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10.21†</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Form of Phantom Unit Agreement (Canada) under the 2014 Equity Participation Plan of Civeo Corporation used for select</w:t>
              </w:r>
            </w:hyperlink>
          </w:p>
        </w:tc>
      </w:tr>
      <w:tr>
        <w:trPr>
          <w:trHeight w:val="146"/>
        </w:trPr>
        <w:tc>
          <w:tcPr>
            <w:tcW w:w="2060" w:type="dxa"/>
            <w:vAlign w:val="bottom"/>
          </w:tcPr>
          <w:p>
            <w:pPr>
              <w:spacing w:after="0"/>
              <w:rPr>
                <w:sz w:val="12"/>
                <w:szCs w:val="12"/>
                <w:color w:val="auto"/>
              </w:rPr>
            </w:pPr>
          </w:p>
        </w:tc>
        <w:tc>
          <w:tcPr>
            <w:tcW w:w="8200" w:type="dxa"/>
            <w:vAlign w:val="bottom"/>
            <w:tcBorders>
              <w:top w:val="single" w:sz="8" w:color="0000FF"/>
              <w:bottom w:val="single" w:sz="8" w:color="0000FF"/>
            </w:tcBorders>
            <w:gridSpan w:val="16"/>
          </w:tcPr>
          <w:p>
            <w:pPr>
              <w:spacing w:after="0" w:line="147" w:lineRule="exact"/>
              <w:rPr>
                <w:rFonts w:ascii="Times New Roman" w:cs="Times New Roman" w:eastAsia="Times New Roman" w:hAnsi="Times New Roman"/>
                <w:sz w:val="16"/>
                <w:szCs w:val="16"/>
                <w:color w:val="0000FF"/>
              </w:rPr>
            </w:pPr>
            <w:hyperlink r:id="rId112">
              <w:r>
                <w:rPr>
                  <w:rFonts w:ascii="Times New Roman" w:cs="Times New Roman" w:eastAsia="Times New Roman" w:hAnsi="Times New Roman"/>
                  <w:sz w:val="16"/>
                  <w:szCs w:val="16"/>
                  <w:color w:val="0000FF"/>
                </w:rPr>
                <w:t>officers (incorporated herein by reference to Exhibit 10.2 to the Quarterly Report on Form 10-Q filed on July 30, 2024).</w:t>
              </w:r>
            </w:hyperlink>
          </w:p>
        </w:tc>
        <w:tc>
          <w:tcPr>
            <w:tcW w:w="4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00"/>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10.22†</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Form of Director Restricted Stock Agreement under the 2014 Equity Participation Plan of Civeo Corporation</w:t>
              </w:r>
            </w:hyperlink>
          </w:p>
        </w:tc>
      </w:tr>
      <w:tr>
        <w:trPr>
          <w:trHeight w:val="146"/>
        </w:trPr>
        <w:tc>
          <w:tcPr>
            <w:tcW w:w="206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13"/>
          </w:tcPr>
          <w:p>
            <w:pPr>
              <w:spacing w:after="0" w:line="147" w:lineRule="exact"/>
              <w:rPr>
                <w:rFonts w:ascii="Times New Roman" w:cs="Times New Roman" w:eastAsia="Times New Roman" w:hAnsi="Times New Roman"/>
                <w:sz w:val="16"/>
                <w:szCs w:val="16"/>
                <w:color w:val="0000FF"/>
              </w:rPr>
            </w:pPr>
            <w:hyperlink r:id="rId113">
              <w:r>
                <w:rPr>
                  <w:rFonts w:ascii="Times New Roman" w:cs="Times New Roman" w:eastAsia="Times New Roman" w:hAnsi="Times New Roman"/>
                  <w:sz w:val="16"/>
                  <w:szCs w:val="16"/>
                  <w:color w:val="0000FF"/>
                </w:rPr>
                <w:t>(incorporated herein by reference to Exhibit 10.3 to the Quarterly Report on Form 10-Q filed on July 30, 2024).</w:t>
              </w:r>
            </w:hyperlink>
          </w:p>
        </w:tc>
        <w:tc>
          <w:tcPr>
            <w:tcW w:w="7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13"/>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10.23†</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of Director Deferred Share Agreement under the 2014 Equity Participation Plan of Civeo Corporation - Canada only</w:t>
              </w:r>
            </w:hyperlink>
          </w:p>
        </w:tc>
      </w:tr>
      <w:tr>
        <w:trPr>
          <w:trHeight w:val="146"/>
        </w:trPr>
        <w:tc>
          <w:tcPr>
            <w:tcW w:w="206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13"/>
          </w:tcPr>
          <w:p>
            <w:pPr>
              <w:spacing w:after="0" w:line="147" w:lineRule="exact"/>
              <w:rPr>
                <w:rFonts w:ascii="Times New Roman" w:cs="Times New Roman" w:eastAsia="Times New Roman" w:hAnsi="Times New Roman"/>
                <w:sz w:val="16"/>
                <w:szCs w:val="16"/>
                <w:color w:val="0000FF"/>
              </w:rPr>
            </w:pPr>
            <w:hyperlink r:id="rId110">
              <w:r>
                <w:rPr>
                  <w:rFonts w:ascii="Times New Roman" w:cs="Times New Roman" w:eastAsia="Times New Roman" w:hAnsi="Times New Roman"/>
                  <w:sz w:val="16"/>
                  <w:szCs w:val="16"/>
                  <w:color w:val="0000FF"/>
                </w:rPr>
                <w:t>(incorporated herein by reference to Exhibit 10.4 to the Quarterly Report on Form 10-Q filed on July 30, 2024).</w:t>
              </w:r>
            </w:hyperlink>
          </w:p>
        </w:tc>
        <w:tc>
          <w:tcPr>
            <w:tcW w:w="940" w:type="dxa"/>
            <w:vAlign w:val="bottom"/>
            <w:tcBorders>
              <w:top w:val="single" w:sz="8" w:color="0000FF"/>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10.24†</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Form of Director Deferred Share Agreement under the 2014 Equity Participation Plan of Civeo Corporation (incorporated</w:t>
              </w:r>
            </w:hyperlink>
          </w:p>
        </w:tc>
      </w:tr>
      <w:tr>
        <w:trPr>
          <w:trHeight w:val="146"/>
        </w:trPr>
        <w:tc>
          <w:tcPr>
            <w:tcW w:w="2060" w:type="dxa"/>
            <w:vAlign w:val="bottom"/>
          </w:tcPr>
          <w:p>
            <w:pPr>
              <w:spacing w:after="0"/>
              <w:rPr>
                <w:sz w:val="12"/>
                <w:szCs w:val="12"/>
                <w:color w:val="auto"/>
              </w:rPr>
            </w:pPr>
          </w:p>
        </w:tc>
        <w:tc>
          <w:tcPr>
            <w:tcW w:w="6680" w:type="dxa"/>
            <w:vAlign w:val="bottom"/>
            <w:tcBorders>
              <w:top w:val="single" w:sz="8" w:color="0000FF"/>
              <w:bottom w:val="single" w:sz="8" w:color="0000FF"/>
            </w:tcBorders>
            <w:gridSpan w:val="12"/>
          </w:tcPr>
          <w:p>
            <w:pPr>
              <w:spacing w:after="0" w:line="147" w:lineRule="exact"/>
              <w:rPr>
                <w:rFonts w:ascii="Times New Roman" w:cs="Times New Roman" w:eastAsia="Times New Roman" w:hAnsi="Times New Roman"/>
                <w:sz w:val="16"/>
                <w:szCs w:val="16"/>
                <w:color w:val="0000FF"/>
              </w:rPr>
            </w:pPr>
            <w:hyperlink r:id="rId111">
              <w:r>
                <w:rPr>
                  <w:rFonts w:ascii="Times New Roman" w:cs="Times New Roman" w:eastAsia="Times New Roman" w:hAnsi="Times New Roman"/>
                  <w:sz w:val="16"/>
                  <w:szCs w:val="16"/>
                  <w:color w:val="0000FF"/>
                </w:rPr>
                <w:t>herein by reference to Exhibit 10.5 to the Quarterly Report on Form 10-Q filed on July 30, 2024).</w:t>
              </w:r>
            </w:hyperlink>
          </w:p>
        </w:tc>
        <w:tc>
          <w:tcPr>
            <w:tcW w:w="194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13"/>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10.25†</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Amended and Restated Executive Agreement between Civeo Corporation and E. Collin Gerry dated as of May 4, 2020</w:t>
              </w:r>
            </w:hyperlink>
          </w:p>
        </w:tc>
      </w:tr>
      <w:tr>
        <w:trPr>
          <w:trHeight w:val="146"/>
        </w:trPr>
        <w:tc>
          <w:tcPr>
            <w:tcW w:w="206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4"/>
          </w:tcPr>
          <w:p>
            <w:pPr>
              <w:spacing w:after="0" w:line="147" w:lineRule="exact"/>
              <w:rPr>
                <w:rFonts w:ascii="Times New Roman" w:cs="Times New Roman" w:eastAsia="Times New Roman" w:hAnsi="Times New Roman"/>
                <w:sz w:val="16"/>
                <w:szCs w:val="16"/>
                <w:color w:val="0000FF"/>
              </w:rPr>
            </w:pPr>
            <w:hyperlink r:id="rId114">
              <w:r>
                <w:rPr>
                  <w:rFonts w:ascii="Times New Roman" w:cs="Times New Roman" w:eastAsia="Times New Roman" w:hAnsi="Times New Roman"/>
                  <w:sz w:val="16"/>
                  <w:szCs w:val="16"/>
                  <w:color w:val="0000FF"/>
                </w:rPr>
                <w:t>(incorporated herein by reference to Exhibit 10.2 to the Quarterly Report on Form 10-Q filed on April 30, 2025).</w:t>
              </w:r>
            </w:hyperlink>
          </w:p>
        </w:tc>
        <w:tc>
          <w:tcPr>
            <w:tcW w:w="88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313"/>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10.26†</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Executive Agreement between Civeo Corporation and Barclay Brewer dated as of March 31, 2025 (incorporated herein by</w:t>
              </w:r>
            </w:hyperlink>
          </w:p>
        </w:tc>
      </w:tr>
      <w:tr>
        <w:trPr>
          <w:trHeight w:val="146"/>
        </w:trPr>
        <w:tc>
          <w:tcPr>
            <w:tcW w:w="2060" w:type="dxa"/>
            <w:vAlign w:val="bottom"/>
          </w:tcPr>
          <w:p>
            <w:pPr>
              <w:spacing w:after="0"/>
              <w:rPr>
                <w:sz w:val="12"/>
                <w:szCs w:val="12"/>
                <w:color w:val="auto"/>
              </w:rPr>
            </w:pPr>
          </w:p>
        </w:tc>
        <w:tc>
          <w:tcPr>
            <w:tcW w:w="8540" w:type="dxa"/>
            <w:vAlign w:val="bottom"/>
            <w:tcBorders>
              <w:top w:val="single" w:sz="8" w:color="0000FF"/>
            </w:tcBorders>
            <w:gridSpan w:val="25"/>
          </w:tcPr>
          <w:p>
            <w:pPr>
              <w:spacing w:after="0" w:line="147" w:lineRule="exact"/>
              <w:rPr>
                <w:rFonts w:ascii="Times New Roman" w:cs="Times New Roman" w:eastAsia="Times New Roman" w:hAnsi="Times New Roman"/>
                <w:sz w:val="16"/>
                <w:szCs w:val="16"/>
                <w:color w:val="0000FF"/>
              </w:rPr>
            </w:pPr>
            <w:hyperlink r:id="rId115">
              <w:r>
                <w:rPr>
                  <w:rFonts w:ascii="Times New Roman" w:cs="Times New Roman" w:eastAsia="Times New Roman" w:hAnsi="Times New Roman"/>
                  <w:sz w:val="16"/>
                  <w:szCs w:val="16"/>
                  <w:color w:val="0000FF"/>
                </w:rPr>
                <w:t>reference to Exhibit 10.3 to the Quarterly Report on Form 10-Q filed on April 30, 2025).</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204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10.27†</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Executive Agreement between Civeo Canada Employees LP, Civeo Corporation and Andy Fraser dated as of March 31,</w:t>
              </w:r>
            </w:hyperlink>
          </w:p>
        </w:tc>
      </w:tr>
      <w:tr>
        <w:trPr>
          <w:trHeight w:val="146"/>
        </w:trPr>
        <w:tc>
          <w:tcPr>
            <w:tcW w:w="2060" w:type="dxa"/>
            <w:vAlign w:val="bottom"/>
          </w:tcPr>
          <w:p>
            <w:pPr>
              <w:spacing w:after="0"/>
              <w:rPr>
                <w:sz w:val="12"/>
                <w:szCs w:val="12"/>
                <w:color w:val="auto"/>
              </w:rPr>
            </w:pPr>
          </w:p>
        </w:tc>
        <w:tc>
          <w:tcPr>
            <w:tcW w:w="8100" w:type="dxa"/>
            <w:vAlign w:val="bottom"/>
            <w:tcBorders>
              <w:top w:val="single" w:sz="8" w:color="0000FF"/>
              <w:bottom w:val="single" w:sz="8" w:color="0000FF"/>
            </w:tcBorders>
            <w:gridSpan w:val="15"/>
          </w:tcPr>
          <w:p>
            <w:pPr>
              <w:spacing w:after="0" w:line="147" w:lineRule="exact"/>
              <w:rPr>
                <w:rFonts w:ascii="Times New Roman" w:cs="Times New Roman" w:eastAsia="Times New Roman" w:hAnsi="Times New Roman"/>
                <w:sz w:val="16"/>
                <w:szCs w:val="16"/>
                <w:color w:val="0000FF"/>
              </w:rPr>
            </w:pPr>
            <w:hyperlink r:id="rId116">
              <w:r>
                <w:rPr>
                  <w:rFonts w:ascii="Times New Roman" w:cs="Times New Roman" w:eastAsia="Times New Roman" w:hAnsi="Times New Roman"/>
                  <w:sz w:val="16"/>
                  <w:szCs w:val="16"/>
                  <w:color w:val="0000FF"/>
                </w:rPr>
                <w:t>2025 (incorporated herein by reference to Exhibit 10.4 to the Quarterly Report on Form 10-Q filed on April 30, 2025).</w:t>
              </w:r>
            </w:hyperlink>
          </w:p>
        </w:tc>
        <w:tc>
          <w:tcPr>
            <w:tcW w:w="300" w:type="dxa"/>
            <w:vAlign w:val="bottom"/>
            <w:tcBorders>
              <w:top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10.28†</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Form of Phantom Unit Agreement (Australia) under the 2014 Equity Participation Plan of Civeo Corporation used for</w:t>
              </w:r>
            </w:hyperlink>
          </w:p>
        </w:tc>
      </w:tr>
      <w:tr>
        <w:trPr>
          <w:trHeight w:val="146"/>
        </w:trPr>
        <w:tc>
          <w:tcPr>
            <w:tcW w:w="2060" w:type="dxa"/>
            <w:vAlign w:val="bottom"/>
          </w:tcPr>
          <w:p>
            <w:pPr>
              <w:spacing w:after="0"/>
              <w:rPr>
                <w:sz w:val="12"/>
                <w:szCs w:val="12"/>
                <w:color w:val="auto"/>
              </w:rPr>
            </w:pPr>
          </w:p>
        </w:tc>
        <w:tc>
          <w:tcPr>
            <w:tcW w:w="8680" w:type="dxa"/>
            <w:vAlign w:val="bottom"/>
            <w:tcBorders>
              <w:top w:val="single" w:sz="8" w:color="0000FF"/>
              <w:bottom w:val="single" w:sz="8" w:color="0000FF"/>
            </w:tcBorders>
            <w:gridSpan w:val="32"/>
          </w:tcPr>
          <w:p>
            <w:pPr>
              <w:spacing w:after="0" w:line="147" w:lineRule="exact"/>
              <w:rPr>
                <w:rFonts w:ascii="Times New Roman" w:cs="Times New Roman" w:eastAsia="Times New Roman" w:hAnsi="Times New Roman"/>
                <w:sz w:val="16"/>
                <w:szCs w:val="16"/>
                <w:color w:val="0000FF"/>
              </w:rPr>
            </w:pPr>
            <w:hyperlink r:id="rId117">
              <w:r>
                <w:rPr>
                  <w:rFonts w:ascii="Times New Roman" w:cs="Times New Roman" w:eastAsia="Times New Roman" w:hAnsi="Times New Roman"/>
                  <w:sz w:val="16"/>
                  <w:szCs w:val="16"/>
                  <w:color w:val="0000FF"/>
                </w:rPr>
                <w:t>select officers (incorporated herein by reference to Exhibit 10.1 to the Quarterly Report on Form 10-Q filed on July 29,</w:t>
              </w:r>
            </w:hyperlink>
          </w:p>
        </w:tc>
        <w:tc>
          <w:tcPr>
            <w:tcW w:w="500" w:type="dxa"/>
            <w:vAlign w:val="bottom"/>
          </w:tcPr>
          <w:p>
            <w:pPr>
              <w:spacing w:after="0"/>
              <w:rPr>
                <w:sz w:val="12"/>
                <w:szCs w:val="12"/>
                <w:color w:val="auto"/>
              </w:rPr>
            </w:pPr>
          </w:p>
        </w:tc>
      </w:tr>
      <w:tr>
        <w:trPr>
          <w:trHeight w:val="159"/>
        </w:trPr>
        <w:tc>
          <w:tcPr>
            <w:tcW w:w="2060" w:type="dxa"/>
            <w:vAlign w:val="bottom"/>
          </w:tcPr>
          <w:p>
            <w:pPr>
              <w:spacing w:after="0"/>
              <w:rPr>
                <w:sz w:val="13"/>
                <w:szCs w:val="13"/>
                <w:color w:val="auto"/>
              </w:rPr>
            </w:pPr>
          </w:p>
        </w:tc>
        <w:tc>
          <w:tcPr>
            <w:tcW w:w="440" w:type="dxa"/>
            <w:vAlign w:val="bottom"/>
            <w:tcBorders>
              <w:bottom w:val="single" w:sz="8" w:color="0000FF"/>
            </w:tcBorders>
          </w:tcPr>
          <w:p>
            <w:pPr>
              <w:spacing w:after="0" w:line="159" w:lineRule="exact"/>
              <w:rPr>
                <w:rFonts w:ascii="Times New Roman" w:cs="Times New Roman" w:eastAsia="Times New Roman" w:hAnsi="Times New Roman"/>
                <w:sz w:val="17"/>
                <w:szCs w:val="17"/>
                <w:color w:val="0000FF"/>
                <w:w w:val="95"/>
              </w:rPr>
            </w:pPr>
            <w:hyperlink r:id="rId117">
              <w:r>
                <w:rPr>
                  <w:rFonts w:ascii="Times New Roman" w:cs="Times New Roman" w:eastAsia="Times New Roman" w:hAnsi="Times New Roman"/>
                  <w:sz w:val="17"/>
                  <w:szCs w:val="17"/>
                  <w:color w:val="0000FF"/>
                  <w:w w:val="95"/>
                </w:rPr>
                <w:t>2025).</w:t>
              </w:r>
            </w:hyperlink>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249"/>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10.29†</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Form of Phantom Unit Agreement (U.S.) under the 2014 Equity Participation Plan of Civeo Corporation used for select</w:t>
              </w:r>
            </w:hyperlink>
          </w:p>
        </w:tc>
      </w:tr>
      <w:tr>
        <w:trPr>
          <w:trHeight w:val="146"/>
        </w:trPr>
        <w:tc>
          <w:tcPr>
            <w:tcW w:w="2060" w:type="dxa"/>
            <w:vAlign w:val="bottom"/>
          </w:tcPr>
          <w:p>
            <w:pPr>
              <w:spacing w:after="0"/>
              <w:rPr>
                <w:sz w:val="12"/>
                <w:szCs w:val="12"/>
                <w:color w:val="auto"/>
              </w:rPr>
            </w:pPr>
          </w:p>
        </w:tc>
        <w:tc>
          <w:tcPr>
            <w:tcW w:w="8200" w:type="dxa"/>
            <w:vAlign w:val="bottom"/>
            <w:tcBorders>
              <w:top w:val="single" w:sz="8" w:color="0000FF"/>
              <w:bottom w:val="single" w:sz="8" w:color="0000FF"/>
            </w:tcBorders>
            <w:gridSpan w:val="16"/>
          </w:tcPr>
          <w:p>
            <w:pPr>
              <w:spacing w:after="0" w:line="147" w:lineRule="exact"/>
              <w:rPr>
                <w:rFonts w:ascii="Times New Roman" w:cs="Times New Roman" w:eastAsia="Times New Roman" w:hAnsi="Times New Roman"/>
                <w:sz w:val="16"/>
                <w:szCs w:val="16"/>
                <w:color w:val="0000FF"/>
              </w:rPr>
            </w:pPr>
            <w:hyperlink r:id="rId118">
              <w:r>
                <w:rPr>
                  <w:rFonts w:ascii="Times New Roman" w:cs="Times New Roman" w:eastAsia="Times New Roman" w:hAnsi="Times New Roman"/>
                  <w:sz w:val="16"/>
                  <w:szCs w:val="16"/>
                  <w:color w:val="0000FF"/>
                </w:rPr>
                <w:t>officers (incorporated herein by reference to Exhibit 10.2 to the Quarterly Report on Form 10-Q filed on July 29, 2025).</w:t>
              </w:r>
            </w:hyperlink>
          </w:p>
        </w:tc>
        <w:tc>
          <w:tcPr>
            <w:tcW w:w="28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10.30†</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Consulting Agreement between Civeo Canada Limited Partnership and Quantev Advisors Ltd. dated as of January 1, 2025</w:t>
              </w:r>
            </w:hyperlink>
          </w:p>
        </w:tc>
      </w:tr>
      <w:tr>
        <w:trPr>
          <w:trHeight w:val="146"/>
        </w:trPr>
        <w:tc>
          <w:tcPr>
            <w:tcW w:w="2060" w:type="dxa"/>
            <w:vAlign w:val="bottom"/>
          </w:tcPr>
          <w:p>
            <w:pPr>
              <w:spacing w:after="0"/>
              <w:rPr>
                <w:sz w:val="12"/>
                <w:szCs w:val="12"/>
                <w:color w:val="auto"/>
              </w:rPr>
            </w:pPr>
          </w:p>
        </w:tc>
        <w:tc>
          <w:tcPr>
            <w:tcW w:w="7720" w:type="dxa"/>
            <w:vAlign w:val="bottom"/>
            <w:tcBorders>
              <w:top w:val="single" w:sz="8" w:color="0000FF"/>
              <w:bottom w:val="single" w:sz="8" w:color="0000FF"/>
            </w:tcBorders>
            <w:gridSpan w:val="14"/>
          </w:tcPr>
          <w:p>
            <w:pPr>
              <w:spacing w:after="0" w:line="147" w:lineRule="exact"/>
              <w:rPr>
                <w:rFonts w:ascii="Times New Roman" w:cs="Times New Roman" w:eastAsia="Times New Roman" w:hAnsi="Times New Roman"/>
                <w:sz w:val="16"/>
                <w:szCs w:val="16"/>
                <w:color w:val="0000FF"/>
              </w:rPr>
            </w:pPr>
            <w:hyperlink r:id="rId119">
              <w:r>
                <w:rPr>
                  <w:rFonts w:ascii="Times New Roman" w:cs="Times New Roman" w:eastAsia="Times New Roman" w:hAnsi="Times New Roman"/>
                  <w:sz w:val="16"/>
                  <w:szCs w:val="16"/>
                  <w:color w:val="0000FF"/>
                </w:rPr>
                <w:t>(incorporated herein by reference to Exhibit 10.5 to the Quarterly Report on Form 10-Q filed on April 30, 2025).</w:t>
              </w:r>
            </w:hyperlink>
          </w:p>
        </w:tc>
        <w:tc>
          <w:tcPr>
            <w:tcW w:w="740" w:type="dxa"/>
            <w:vAlign w:val="bottom"/>
            <w:tcBorders>
              <w:top w:val="single" w:sz="8" w:color="0000FF"/>
            </w:tcBorders>
            <w:gridSpan w:val="7"/>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300"/>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19.1</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Policy Prohibiting Insider Trading (incorporated herein by reference to Exhibit 19.1 to the Annual Report on Form 10-K</w:t>
              </w:r>
            </w:hyperlink>
          </w:p>
        </w:tc>
      </w:tr>
      <w:tr>
        <w:trPr>
          <w:trHeight w:val="146"/>
        </w:trPr>
        <w:tc>
          <w:tcPr>
            <w:tcW w:w="206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5"/>
          </w:tcPr>
          <w:p>
            <w:pPr>
              <w:spacing w:after="0" w:line="147" w:lineRule="exact"/>
              <w:rPr>
                <w:rFonts w:ascii="Times New Roman" w:cs="Times New Roman" w:eastAsia="Times New Roman" w:hAnsi="Times New Roman"/>
                <w:sz w:val="16"/>
                <w:szCs w:val="16"/>
                <w:color w:val="0000FF"/>
              </w:rPr>
            </w:pPr>
            <w:hyperlink r:id="rId120">
              <w:r>
                <w:rPr>
                  <w:rFonts w:ascii="Times New Roman" w:cs="Times New Roman" w:eastAsia="Times New Roman" w:hAnsi="Times New Roman"/>
                  <w:sz w:val="16"/>
                  <w:szCs w:val="16"/>
                  <w:color w:val="0000FF"/>
                </w:rPr>
                <w:t>(File No. 001-36246) filed on February 27, 2025).</w:t>
              </w:r>
            </w:hyperlink>
          </w:p>
        </w:tc>
        <w:tc>
          <w:tcPr>
            <w:tcW w:w="5200" w:type="dxa"/>
            <w:vAlign w:val="bottom"/>
            <w:tcBorders>
              <w:top w:val="single" w:sz="8" w:color="0000FF"/>
            </w:tcBorders>
            <w:gridSpan w:val="25"/>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300"/>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21.1*</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List of Significant Subsidiaries of Civeo Corporation</w:t>
            </w:r>
            <w:r>
              <w:rPr>
                <w:rFonts w:ascii="Times New Roman" w:cs="Times New Roman" w:eastAsia="Times New Roman" w:hAnsi="Times New Roman"/>
                <w:sz w:val="17"/>
                <w:szCs w:val="17"/>
                <w:color w:val="000000"/>
              </w:rPr>
              <w:t>.</w:t>
            </w:r>
          </w:p>
        </w:tc>
      </w:tr>
      <w:tr>
        <w:trPr>
          <w:trHeight w:val="249"/>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23.1*</w:t>
            </w:r>
          </w:p>
        </w:tc>
        <w:tc>
          <w:tcPr>
            <w:tcW w:w="22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Consent of Ernst &amp; Young LLP.</w:t>
            </w:r>
          </w:p>
        </w:tc>
        <w:tc>
          <w:tcPr>
            <w:tcW w:w="1420" w:type="dxa"/>
            <w:vAlign w:val="bottom"/>
            <w:tcBorders>
              <w:top w:val="single" w:sz="8" w:color="0000FF"/>
            </w:tcBorders>
            <w:gridSpan w:val="4"/>
          </w:tcPr>
          <w:p>
            <w:pPr>
              <w:spacing w:after="0"/>
              <w:rPr>
                <w:sz w:val="21"/>
                <w:szCs w:val="21"/>
                <w:color w:val="auto"/>
              </w:rPr>
            </w:pPr>
          </w:p>
        </w:tc>
        <w:tc>
          <w:tcPr>
            <w:tcW w:w="5560" w:type="dxa"/>
            <w:vAlign w:val="bottom"/>
            <w:gridSpan w:val="27"/>
          </w:tcPr>
          <w:p>
            <w:pPr>
              <w:spacing w:after="0"/>
              <w:rPr>
                <w:sz w:val="21"/>
                <w:szCs w:val="21"/>
                <w:color w:val="auto"/>
              </w:rPr>
            </w:pPr>
          </w:p>
        </w:tc>
      </w:tr>
      <w:tr>
        <w:trPr>
          <w:trHeight w:val="249"/>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31.1*</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of Civeo Corporation pursuant to Rules 13a-14(a) or 15d-14(a) under the</w:t>
            </w:r>
          </w:p>
        </w:tc>
      </w:tr>
      <w:tr>
        <w:trPr>
          <w:trHeight w:val="146"/>
        </w:trPr>
        <w:tc>
          <w:tcPr>
            <w:tcW w:w="206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3"/>
          </w:tcPr>
          <w:p>
            <w:pPr>
              <w:spacing w:after="0" w:line="147" w:lineRule="exact"/>
              <w:rPr>
                <w:sz w:val="20"/>
                <w:szCs w:val="20"/>
                <w:color w:val="auto"/>
              </w:rPr>
            </w:pPr>
            <w:r>
              <w:rPr>
                <w:rFonts w:ascii="Times New Roman" w:cs="Times New Roman" w:eastAsia="Times New Roman" w:hAnsi="Times New Roman"/>
                <w:sz w:val="16"/>
                <w:szCs w:val="16"/>
                <w:color w:val="0000FF"/>
              </w:rPr>
              <w:t>Securities Exchange Act of 1934.</w:t>
            </w:r>
          </w:p>
        </w:tc>
        <w:tc>
          <w:tcPr>
            <w:tcW w:w="6140" w:type="dxa"/>
            <w:vAlign w:val="bottom"/>
            <w:tcBorders>
              <w:top w:val="single" w:sz="8" w:color="0000FF"/>
            </w:tcBorders>
            <w:gridSpan w:val="17"/>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31.2*</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of Civeo Corporation pursuant to Rules 13a-14(a) or 15d-14(a) under the</w:t>
            </w:r>
          </w:p>
        </w:tc>
      </w:tr>
      <w:tr>
        <w:trPr>
          <w:trHeight w:val="146"/>
        </w:trPr>
        <w:tc>
          <w:tcPr>
            <w:tcW w:w="2060" w:type="dxa"/>
            <w:vAlign w:val="bottom"/>
          </w:tcPr>
          <w:p>
            <w:pPr>
              <w:spacing w:after="0"/>
              <w:rPr>
                <w:sz w:val="12"/>
                <w:szCs w:val="12"/>
                <w:color w:val="auto"/>
              </w:rPr>
            </w:pPr>
          </w:p>
        </w:tc>
        <w:tc>
          <w:tcPr>
            <w:tcW w:w="2300" w:type="dxa"/>
            <w:vAlign w:val="bottom"/>
            <w:tcBorders>
              <w:top w:val="single" w:sz="8" w:color="0000FF"/>
              <w:bottom w:val="single" w:sz="8" w:color="0000FF"/>
            </w:tcBorders>
            <w:gridSpan w:val="3"/>
          </w:tcPr>
          <w:p>
            <w:pPr>
              <w:spacing w:after="0" w:line="147" w:lineRule="exact"/>
              <w:rPr>
                <w:sz w:val="20"/>
                <w:szCs w:val="20"/>
                <w:color w:val="auto"/>
              </w:rPr>
            </w:pPr>
            <w:r>
              <w:rPr>
                <w:rFonts w:ascii="Times New Roman" w:cs="Times New Roman" w:eastAsia="Times New Roman" w:hAnsi="Times New Roman"/>
                <w:sz w:val="16"/>
                <w:szCs w:val="16"/>
                <w:color w:val="0000FF"/>
              </w:rPr>
              <w:t>Securities Exchange Act of 1934.</w:t>
            </w:r>
          </w:p>
        </w:tc>
        <w:tc>
          <w:tcPr>
            <w:tcW w:w="624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32.1**</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of Civeo Corporation pursuant to Rules 13a-14(b) or 15d-14(b) under the</w:t>
            </w:r>
          </w:p>
        </w:tc>
      </w:tr>
      <w:tr>
        <w:trPr>
          <w:trHeight w:val="146"/>
        </w:trPr>
        <w:tc>
          <w:tcPr>
            <w:tcW w:w="20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8"/>
          </w:tcPr>
          <w:p>
            <w:pPr>
              <w:spacing w:after="0" w:line="147" w:lineRule="exact"/>
              <w:rPr>
                <w:sz w:val="20"/>
                <w:szCs w:val="20"/>
                <w:color w:val="auto"/>
              </w:rPr>
            </w:pPr>
            <w:r>
              <w:rPr>
                <w:rFonts w:ascii="Times New Roman" w:cs="Times New Roman" w:eastAsia="Times New Roman" w:hAnsi="Times New Roman"/>
                <w:sz w:val="16"/>
                <w:szCs w:val="16"/>
                <w:color w:val="0000FF"/>
              </w:rPr>
              <w:t>Securities Exchange Act of 1934 and 18 U.S.C. Section 1350.</w:t>
            </w:r>
          </w:p>
        </w:tc>
        <w:tc>
          <w:tcPr>
            <w:tcW w:w="4400" w:type="dxa"/>
            <w:vAlign w:val="bottom"/>
            <w:tcBorders>
              <w:top w:val="single" w:sz="8" w:color="0000FF"/>
            </w:tcBorders>
            <w:gridSpan w:val="23"/>
          </w:tcPr>
          <w:p>
            <w:pPr>
              <w:spacing w:after="0"/>
              <w:rPr>
                <w:sz w:val="12"/>
                <w:szCs w:val="12"/>
                <w:color w:val="auto"/>
              </w:rPr>
            </w:pPr>
          </w:p>
        </w:tc>
        <w:tc>
          <w:tcPr>
            <w:tcW w:w="520" w:type="dxa"/>
            <w:vAlign w:val="bottom"/>
            <w:gridSpan w:val="2"/>
          </w:tcPr>
          <w:p>
            <w:pPr>
              <w:spacing w:after="0"/>
              <w:rPr>
                <w:sz w:val="12"/>
                <w:szCs w:val="12"/>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32.2**</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of Civeo Corporation pursuant to Rules 13a-14(b) or 15d-14(b) under the</w:t>
            </w:r>
          </w:p>
        </w:tc>
      </w:tr>
      <w:tr>
        <w:trPr>
          <w:trHeight w:val="146"/>
        </w:trPr>
        <w:tc>
          <w:tcPr>
            <w:tcW w:w="2060" w:type="dxa"/>
            <w:vAlign w:val="bottom"/>
          </w:tcPr>
          <w:p>
            <w:pPr>
              <w:spacing w:after="0"/>
              <w:rPr>
                <w:sz w:val="12"/>
                <w:szCs w:val="12"/>
                <w:color w:val="auto"/>
              </w:rPr>
            </w:pPr>
          </w:p>
        </w:tc>
        <w:tc>
          <w:tcPr>
            <w:tcW w:w="8380" w:type="dxa"/>
            <w:vAlign w:val="bottom"/>
            <w:tcBorders>
              <w:top w:val="single" w:sz="8" w:color="0000FF"/>
            </w:tcBorders>
            <w:gridSpan w:val="17"/>
          </w:tcPr>
          <w:p>
            <w:pPr>
              <w:spacing w:after="0" w:line="147" w:lineRule="exact"/>
              <w:rPr>
                <w:sz w:val="20"/>
                <w:szCs w:val="20"/>
                <w:color w:val="auto"/>
              </w:rPr>
            </w:pPr>
            <w:r>
              <w:rPr>
                <w:rFonts w:ascii="Times New Roman" w:cs="Times New Roman" w:eastAsia="Times New Roman" w:hAnsi="Times New Roman"/>
                <w:sz w:val="16"/>
                <w:szCs w:val="16"/>
                <w:color w:val="0000FF"/>
              </w:rPr>
              <w:t>Securities Exchange Act of 1934 and 18 U.S.C. Section 1350.</w:t>
            </w:r>
          </w:p>
        </w:tc>
        <w:tc>
          <w:tcPr>
            <w:tcW w:w="180" w:type="dxa"/>
            <w:vAlign w:val="bottom"/>
            <w:gridSpan w:val="9"/>
          </w:tcPr>
          <w:p>
            <w:pPr>
              <w:spacing w:after="0"/>
              <w:rPr>
                <w:sz w:val="12"/>
                <w:szCs w:val="12"/>
                <w:color w:val="auto"/>
              </w:rPr>
            </w:pPr>
          </w:p>
        </w:tc>
        <w:tc>
          <w:tcPr>
            <w:tcW w:w="620" w:type="dxa"/>
            <w:vAlign w:val="bottom"/>
            <w:gridSpan w:val="7"/>
          </w:tcPr>
          <w:p>
            <w:pPr>
              <w:spacing w:after="0"/>
              <w:rPr>
                <w:sz w:val="12"/>
                <w:szCs w:val="12"/>
                <w:color w:val="auto"/>
              </w:rPr>
            </w:pPr>
          </w:p>
        </w:tc>
      </w:tr>
      <w:tr>
        <w:trPr>
          <w:trHeight w:val="20"/>
        </w:trPr>
        <w:tc>
          <w:tcPr>
            <w:tcW w:w="2060" w:type="dxa"/>
            <w:vAlign w:val="bottom"/>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4320" w:type="dxa"/>
            <w:vAlign w:val="bottom"/>
            <w:gridSpan w:val="19"/>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r>
      <w:tr>
        <w:trPr>
          <w:trHeight w:val="262"/>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97.1</w:t>
            </w:r>
          </w:p>
        </w:tc>
        <w:tc>
          <w:tcPr>
            <w:tcW w:w="9180" w:type="dxa"/>
            <w:vAlign w:val="bottom"/>
            <w:gridSpan w:val="33"/>
          </w:tcPr>
          <w:p>
            <w:pPr>
              <w:spacing w:after="0"/>
              <w:rPr>
                <w:rFonts w:ascii="Times New Roman" w:cs="Times New Roman" w:eastAsia="Times New Roman" w:hAnsi="Times New Roman"/>
                <w:sz w:val="17"/>
                <w:szCs w:val="17"/>
                <w:color w:val="0000FF"/>
              </w:rPr>
            </w:pPr>
            <w:hyperlink r:id="rId121">
              <w:r>
                <w:rPr>
                  <w:rFonts w:ascii="Times New Roman" w:cs="Times New Roman" w:eastAsia="Times New Roman" w:hAnsi="Times New Roman"/>
                  <w:sz w:val="17"/>
                  <w:szCs w:val="17"/>
                  <w:color w:val="0000FF"/>
                </w:rPr>
                <w:t>Compensation Recoupment (Clawback) Policy (incorporated herein by reference to Exhibit 97.1 to the Annual Report on</w:t>
              </w:r>
            </w:hyperlink>
          </w:p>
        </w:tc>
      </w:tr>
      <w:tr>
        <w:trPr>
          <w:trHeight w:val="146"/>
        </w:trPr>
        <w:tc>
          <w:tcPr>
            <w:tcW w:w="2060" w:type="dxa"/>
            <w:vAlign w:val="bottom"/>
          </w:tcPr>
          <w:p>
            <w:pPr>
              <w:spacing w:after="0"/>
              <w:rPr>
                <w:sz w:val="12"/>
                <w:szCs w:val="12"/>
                <w:color w:val="auto"/>
              </w:rPr>
            </w:pPr>
          </w:p>
        </w:tc>
        <w:tc>
          <w:tcPr>
            <w:tcW w:w="2740" w:type="dxa"/>
            <w:vAlign w:val="bottom"/>
            <w:tcBorders>
              <w:top w:val="single" w:sz="8" w:color="0000FF"/>
              <w:bottom w:val="single" w:sz="8" w:color="0000FF"/>
            </w:tcBorders>
            <w:gridSpan w:val="4"/>
          </w:tcPr>
          <w:p>
            <w:pPr>
              <w:spacing w:after="0" w:line="147" w:lineRule="exact"/>
              <w:rPr>
                <w:rFonts w:ascii="Times New Roman" w:cs="Times New Roman" w:eastAsia="Times New Roman" w:hAnsi="Times New Roman"/>
                <w:sz w:val="16"/>
                <w:szCs w:val="16"/>
                <w:color w:val="0000FF"/>
              </w:rPr>
            </w:pPr>
            <w:hyperlink r:id="rId121">
              <w:r>
                <w:rPr>
                  <w:rFonts w:ascii="Times New Roman" w:cs="Times New Roman" w:eastAsia="Times New Roman" w:hAnsi="Times New Roman"/>
                  <w:sz w:val="16"/>
                  <w:szCs w:val="16"/>
                  <w:color w:val="0000FF"/>
                </w:rPr>
                <w:t>Form 10-K filed on February 29, 2024).</w:t>
              </w:r>
            </w:hyperlink>
          </w:p>
        </w:tc>
        <w:tc>
          <w:tcPr>
            <w:tcW w:w="5820" w:type="dxa"/>
            <w:vAlign w:val="bottom"/>
            <w:tcBorders>
              <w:top w:val="single" w:sz="8" w:color="0000FF"/>
            </w:tcBorders>
            <w:gridSpan w:val="22"/>
          </w:tcPr>
          <w:p>
            <w:pPr>
              <w:spacing w:after="0"/>
              <w:rPr>
                <w:sz w:val="12"/>
                <w:szCs w:val="12"/>
                <w:color w:val="auto"/>
              </w:rPr>
            </w:pPr>
          </w:p>
        </w:tc>
        <w:tc>
          <w:tcPr>
            <w:tcW w:w="620" w:type="dxa"/>
            <w:vAlign w:val="bottom"/>
            <w:gridSpan w:val="7"/>
          </w:tcPr>
          <w:p>
            <w:pPr>
              <w:spacing w:after="0"/>
              <w:rPr>
                <w:sz w:val="12"/>
                <w:szCs w:val="12"/>
                <w:color w:val="auto"/>
              </w:rPr>
            </w:pPr>
          </w:p>
        </w:tc>
      </w:tr>
      <w:tr>
        <w:trPr>
          <w:trHeight w:val="301"/>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101.INS*</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69"/>
        </w:trPr>
        <w:tc>
          <w:tcPr>
            <w:tcW w:w="20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101.SCH*</w:t>
            </w:r>
          </w:p>
        </w:tc>
        <w:tc>
          <w:tcPr>
            <w:tcW w:w="918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871"/>
        </w:trPr>
        <w:tc>
          <w:tcPr>
            <w:tcW w:w="2060" w:type="dxa"/>
            <w:vAlign w:val="bottom"/>
          </w:tcPr>
          <w:p>
            <w:pPr>
              <w:spacing w:after="0"/>
              <w:rPr>
                <w:sz w:val="24"/>
                <w:szCs w:val="24"/>
                <w:color w:val="auto"/>
              </w:rPr>
            </w:pPr>
          </w:p>
        </w:tc>
        <w:tc>
          <w:tcPr>
            <w:tcW w:w="4240" w:type="dxa"/>
            <w:vAlign w:val="bottom"/>
            <w:gridSpan w:val="7"/>
          </w:tcPr>
          <w:p>
            <w:pPr>
              <w:ind w:left="3480"/>
              <w:spacing w:after="0"/>
              <w:rPr>
                <w:sz w:val="20"/>
                <w:szCs w:val="20"/>
                <w:color w:val="auto"/>
              </w:rPr>
            </w:pPr>
            <w:r>
              <w:rPr>
                <w:rFonts w:ascii="Times New Roman" w:cs="Times New Roman" w:eastAsia="Times New Roman" w:hAnsi="Times New Roman"/>
                <w:sz w:val="17"/>
                <w:szCs w:val="17"/>
                <w:color w:val="auto"/>
              </w:rPr>
              <w:t>65</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7"/>
        </w:trPr>
        <w:tc>
          <w:tcPr>
            <w:tcW w:w="20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8" w:name="page69"/>
    <w:bookmarkEnd w:id="68"/>
    <w:p>
      <w:pPr>
        <w:ind w:left="720"/>
        <w:spacing w:after="0"/>
        <w:rPr>
          <w:sz w:val="20"/>
          <w:szCs w:val="20"/>
          <w:color w:val="auto"/>
        </w:rPr>
      </w:pPr>
      <w:r>
        <w:rPr>
          <w:rFonts w:ascii="Times New Roman" w:cs="Times New Roman" w:eastAsia="Times New Roman" w:hAnsi="Times New Roman"/>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p>
      <w:pPr>
        <w:spacing w:after="0" w:line="73" w:lineRule="exact"/>
        <w:rPr>
          <w:sz w:val="20"/>
          <w:szCs w:val="20"/>
          <w:color w:val="auto"/>
        </w:rPr>
      </w:pPr>
    </w:p>
    <w:p>
      <w:pPr>
        <w:sectPr>
          <w:pgSz w:w="11900" w:h="16838" w:orient="portrait"/>
          <w:cols w:equalWidth="0" w:num="2">
            <w:col w:w="1440" w:space="620"/>
            <w:col w:w="9180"/>
          </w:cols>
          <w:pgMar w:left="320" w:top="891" w:right="339" w:bottom="1440" w:gutter="0" w:footer="0" w:header="0"/>
        </w:sectPr>
      </w:pPr>
    </w:p>
    <w:p>
      <w:pPr>
        <w:jc w:val="center"/>
        <w:ind w:left="720"/>
        <w:spacing w:after="0"/>
        <w:rPr>
          <w:sz w:val="20"/>
          <w:szCs w:val="20"/>
          <w:color w:val="auto"/>
        </w:rPr>
      </w:pPr>
      <w:r>
        <w:rPr>
          <w:rFonts w:ascii="Times New Roman" w:cs="Times New Roman" w:eastAsia="Times New Roman" w:hAnsi="Times New Roman"/>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73" w:lineRule="exact"/>
        <w:rPr>
          <w:sz w:val="20"/>
          <w:szCs w:val="20"/>
          <w:color w:val="auto"/>
        </w:rPr>
      </w:pPr>
    </w:p>
    <w:p>
      <w:pPr>
        <w:sectPr>
          <w:pgSz w:w="11900" w:h="16838" w:orient="portrait"/>
          <w:cols w:equalWidth="0" w:num="2">
            <w:col w:w="1420" w:space="640"/>
            <w:col w:w="9180"/>
          </w:cols>
          <w:pgMar w:left="320" w:top="891"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p>
      <w:pPr>
        <w:spacing w:after="0" w:line="73" w:lineRule="exact"/>
        <w:rPr>
          <w:sz w:val="20"/>
          <w:szCs w:val="20"/>
          <w:color w:val="auto"/>
        </w:rPr>
      </w:pPr>
    </w:p>
    <w:p>
      <w:pPr>
        <w:sectPr>
          <w:pgSz w:w="11900" w:h="16838" w:orient="portrait"/>
          <w:cols w:equalWidth="0" w:num="2">
            <w:col w:w="1440" w:space="620"/>
            <w:col w:w="9180"/>
          </w:cols>
          <w:pgMar w:left="320" w:top="891" w:right="339"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73" w:lineRule="exact"/>
        <w:rPr>
          <w:sz w:val="20"/>
          <w:szCs w:val="20"/>
          <w:color w:val="auto"/>
        </w:rPr>
      </w:pPr>
    </w:p>
    <w:p>
      <w:pPr>
        <w:sectPr>
          <w:pgSz w:w="11900" w:h="16838" w:orient="portrait"/>
          <w:cols w:equalWidth="0" w:num="2">
            <w:col w:w="1400" w:space="660"/>
            <w:col w:w="9180"/>
          </w:cols>
          <w:pgMar w:left="320" w:top="891" w:right="339" w:bottom="1440" w:gutter="0" w:footer="0" w:header="0"/>
          <w:type w:val="continuous"/>
        </w:sectPr>
      </w:pPr>
    </w:p>
    <w:p>
      <w:pPr>
        <w:ind w:left="2060" w:hanging="1349"/>
        <w:spacing w:after="0"/>
        <w:tabs>
          <w:tab w:leader="none" w:pos="206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137"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ind w:left="1120" w:hanging="1101"/>
        <w:spacing w:after="0"/>
        <w:tabs>
          <w:tab w:leader="none" w:pos="11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contracts and compensatory plans and arrangements.</w:t>
      </w:r>
    </w:p>
    <w:p>
      <w:pPr>
        <w:spacing w:after="0" w:line="22" w:lineRule="exact"/>
        <w:rPr>
          <w:sz w:val="20"/>
          <w:szCs w:val="20"/>
          <w:color w:val="auto"/>
        </w:rPr>
      </w:pPr>
    </w:p>
    <w:p>
      <w:pPr>
        <w:ind w:left="1120" w:hanging="1101"/>
        <w:spacing w:after="0"/>
        <w:tabs>
          <w:tab w:leader="none" w:pos="11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312" w:lineRule="exact"/>
        <w:rPr>
          <w:sz w:val="20"/>
          <w:szCs w:val="20"/>
          <w:color w:val="auto"/>
        </w:rPr>
      </w:pPr>
    </w:p>
    <w:p>
      <w:pPr>
        <w:jc w:val="both"/>
        <w:ind w:firstLine="154"/>
        <w:spacing w:after="0" w:line="254" w:lineRule="auto"/>
        <w:rPr>
          <w:sz w:val="20"/>
          <w:szCs w:val="20"/>
          <w:color w:val="auto"/>
        </w:rPr>
      </w:pPr>
      <w:r>
        <w:rPr>
          <w:rFonts w:ascii="Times New Roman" w:cs="Times New Roman" w:eastAsia="Times New Roman" w:hAnsi="Times New Roman"/>
          <w:sz w:val="17"/>
          <w:szCs w:val="17"/>
          <w:color w:val="auto"/>
        </w:rPr>
        <w:t>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16. </w:t>
      </w:r>
      <w:r>
        <w:rPr>
          <w:rFonts w:ascii="Times New Roman" w:cs="Times New Roman" w:eastAsia="Times New Roman" w:hAnsi="Times New Roman"/>
          <w:sz w:val="17"/>
          <w:szCs w:val="17"/>
          <w:b w:val="1"/>
          <w:bCs w:val="1"/>
          <w:i w:val="1"/>
          <w:iCs w:val="1"/>
          <w:color w:val="auto"/>
        </w:rPr>
        <w:t>Form 10-K Summary</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69" w:name="page70"/>
    <w:bookmarkEnd w:id="6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ind w:right="80" w:firstLine="461"/>
        <w:spacing w:after="0" w:line="284" w:lineRule="auto"/>
        <w:rPr>
          <w:sz w:val="20"/>
          <w:szCs w:val="20"/>
          <w:color w:val="auto"/>
        </w:rPr>
      </w:pPr>
      <w:r>
        <w:rPr>
          <w:rFonts w:ascii="Times New Roman" w:cs="Times New Roman" w:eastAsia="Times New Roman" w:hAnsi="Times New Roman"/>
          <w:sz w:val="17"/>
          <w:szCs w:val="17"/>
          <w:color w:val="auto"/>
        </w:rPr>
        <w:t>Pursuant to the requirements of Section 13 or 15 (d) of the Securities Exchange Act of 1934, the registrant has duly caused this report to be signed on its behalf by the undersigned, thereunto duly authorized on March 3, 2026.</w:t>
      </w:r>
    </w:p>
    <w:p>
      <w:pPr>
        <w:spacing w:after="0" w:line="1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7"/>
          <w:szCs w:val="17"/>
          <w:color w:val="auto"/>
        </w:rPr>
        <w:t>CIVEO CORPORATION</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740" w:type="dxa"/>
            <w:vAlign w:val="bottom"/>
            <w:gridSpan w:val="5"/>
          </w:tcPr>
          <w:p>
            <w:pPr>
              <w:ind w:left="360"/>
              <w:spacing w:after="0"/>
              <w:rPr>
                <w:sz w:val="20"/>
                <w:szCs w:val="20"/>
                <w:color w:val="auto"/>
              </w:rPr>
            </w:pPr>
            <w:r>
              <w:rPr>
                <w:rFonts w:ascii="Times New Roman" w:cs="Times New Roman" w:eastAsia="Times New Roman" w:hAnsi="Times New Roman"/>
                <w:sz w:val="17"/>
                <w:szCs w:val="17"/>
                <w:color w:val="auto"/>
              </w:rPr>
              <w:t>By   /s/ E. COLLIN GERRY</w:t>
            </w:r>
          </w:p>
        </w:tc>
      </w:tr>
      <w:tr>
        <w:trPr>
          <w:trHeight w:val="203"/>
        </w:trPr>
        <w:tc>
          <w:tcPr>
            <w:tcW w:w="2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8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color w:val="auto"/>
              </w:rPr>
              <w:t>E. Collin Gerry</w:t>
            </w:r>
          </w:p>
        </w:tc>
        <w:tc>
          <w:tcPr>
            <w:tcW w:w="1080" w:type="dxa"/>
            <w:vAlign w:val="bottom"/>
          </w:tcPr>
          <w:p>
            <w:pPr>
              <w:spacing w:after="0"/>
              <w:rPr>
                <w:sz w:val="17"/>
                <w:szCs w:val="17"/>
                <w:color w:val="auto"/>
              </w:rPr>
            </w:pPr>
          </w:p>
        </w:tc>
      </w:tr>
      <w:tr>
        <w:trPr>
          <w:trHeight w:val="174"/>
        </w:trPr>
        <w:tc>
          <w:tcPr>
            <w:tcW w:w="2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960" w:type="dxa"/>
            <w:vAlign w:val="bottom"/>
            <w:gridSpan w:val="4"/>
          </w:tcPr>
          <w:p>
            <w:pPr>
              <w:ind w:left="220"/>
              <w:spacing w:after="0" w:line="174" w:lineRule="exact"/>
              <w:rPr>
                <w:sz w:val="20"/>
                <w:szCs w:val="20"/>
                <w:color w:val="auto"/>
              </w:rPr>
            </w:pPr>
            <w:r>
              <w:rPr>
                <w:rFonts w:ascii="Times New Roman" w:cs="Times New Roman" w:eastAsia="Times New Roman" w:hAnsi="Times New Roman"/>
                <w:sz w:val="17"/>
                <w:szCs w:val="17"/>
                <w:b w:val="1"/>
                <w:bCs w:val="1"/>
                <w:color w:val="auto"/>
                <w:w w:val="99"/>
              </w:rPr>
              <w:t>Senior Vice President, Chief Financial Officer and Treasurer (Du</w:t>
            </w:r>
          </w:p>
        </w:tc>
      </w:tr>
      <w:tr>
        <w:trPr>
          <w:trHeight w:val="226"/>
        </w:trPr>
        <w:tc>
          <w:tcPr>
            <w:tcW w:w="2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960" w:type="dxa"/>
            <w:vAlign w:val="bottom"/>
            <w:gridSpan w:val="4"/>
          </w:tcPr>
          <w:p>
            <w:pPr>
              <w:ind w:left="78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Officer)</w:t>
            </w:r>
          </w:p>
        </w:tc>
      </w:tr>
      <w:tr>
        <w:trPr>
          <w:trHeight w:val="837"/>
        </w:trPr>
        <w:tc>
          <w:tcPr>
            <w:tcW w:w="2440" w:type="dxa"/>
            <w:vAlign w:val="bottom"/>
          </w:tcPr>
          <w:p>
            <w:pPr>
              <w:spacing w:after="0"/>
              <w:rPr>
                <w:sz w:val="24"/>
                <w:szCs w:val="24"/>
                <w:color w:val="auto"/>
              </w:rPr>
            </w:pPr>
          </w:p>
        </w:tc>
        <w:tc>
          <w:tcPr>
            <w:tcW w:w="3140" w:type="dxa"/>
            <w:vAlign w:val="bottom"/>
            <w:gridSpan w:val="2"/>
          </w:tcPr>
          <w:p>
            <w:pPr>
              <w:jc w:val="center"/>
              <w:ind w:right="2440"/>
              <w:spacing w:after="0"/>
              <w:rPr>
                <w:sz w:val="20"/>
                <w:szCs w:val="20"/>
                <w:color w:val="auto"/>
              </w:rPr>
            </w:pPr>
            <w:r>
              <w:rPr>
                <w:rFonts w:ascii="Times New Roman" w:cs="Times New Roman" w:eastAsia="Times New Roman" w:hAnsi="Times New Roman"/>
                <w:sz w:val="17"/>
                <w:szCs w:val="17"/>
                <w:b w:val="1"/>
                <w:bCs w:val="1"/>
                <w:color w:val="auto"/>
                <w:w w:val="98"/>
              </w:rPr>
              <w:t>Signature</w:t>
            </w: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Title</w:t>
            </w:r>
          </w:p>
        </w:tc>
      </w:tr>
      <w:tr>
        <w:trPr>
          <w:trHeight w:val="20"/>
        </w:trPr>
        <w:tc>
          <w:tcPr>
            <w:tcW w:w="2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r>
      <w:tr>
        <w:trPr>
          <w:trHeight w:val="454"/>
        </w:trPr>
        <w:tc>
          <w:tcPr>
            <w:tcW w:w="55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8"/>
              </w:rPr>
              <w:t>/s/ RICHARD A. NAVARRE</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Chair of the Board</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Richard A. Navarre</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1"/>
        </w:trPr>
        <w:tc>
          <w:tcPr>
            <w:tcW w:w="55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/s/ BRADLEY J. DODSON</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 President and Chief Executive Officer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Bradley J. Dodson</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31"/>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E. COLLIN GERRY</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Senior Vice President, Chief Financial Officer and Treasurer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E. Collin Gerry</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(Principal Financial Officer and Accounting Officer)</w:t>
            </w:r>
          </w:p>
        </w:tc>
      </w:tr>
      <w:tr>
        <w:trPr>
          <w:trHeight w:val="431"/>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C. RONALD BLANKENSHIP</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C. Ronald Blankenship</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5"/>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7"/>
              </w:rPr>
              <w:t>/s/ JAY K. GREWAL</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Jay K. Grewal</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1"/>
        </w:trPr>
        <w:tc>
          <w:tcPr>
            <w:tcW w:w="55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9"/>
              </w:rPr>
              <w:t>/s/ MARTIN A. LAMBERT</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Martin A. Lambert</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65"/>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MICHAEL MONTELONGO</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Michael Montelongo</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1"/>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 CONSTANCE B. MOORE</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Constance B. Moore</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1"/>
        </w:trPr>
        <w:tc>
          <w:tcPr>
            <w:tcW w:w="55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/s/ JEFFREY B. SCOFIELD</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558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rPr>
              <w:t>Jeffrey B. Scofield</w:t>
            </w:r>
          </w:p>
        </w:tc>
        <w:tc>
          <w:tcPr>
            <w:tcW w:w="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55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9"/>
              </w:rPr>
              <w:t>/s/ DANIEL B. SILVERS</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07"/>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Daniel B. Silvers</w:t>
            </w:r>
          </w:p>
        </w:tc>
        <w:tc>
          <w:tcPr>
            <w:tcW w:w="7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1"/>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CHARLES SZALKOWSKI</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Charles Szalkowski</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431"/>
        </w:trPr>
        <w:tc>
          <w:tcPr>
            <w:tcW w:w="5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8"/>
              </w:rPr>
              <w:t>/s/ TIMOTHY O. WALL</w:t>
            </w:r>
          </w:p>
        </w:tc>
        <w:tc>
          <w:tcPr>
            <w:tcW w:w="574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Director</w:t>
            </w:r>
          </w:p>
        </w:tc>
      </w:tr>
      <w:tr>
        <w:trPr>
          <w:trHeight w:val="215"/>
        </w:trPr>
        <w:tc>
          <w:tcPr>
            <w:tcW w:w="55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7"/>
              </w:rPr>
              <w:t>Timothy O. Wall</w:t>
            </w: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20"/>
          </w:cols>
          <w:pgMar w:left="320" w:top="849" w:right="2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6"/>
        </w:trPr>
        <w:tc>
          <w:tcPr>
            <w:tcW w:w="9800" w:type="dxa"/>
            <w:vAlign w:val="bottom"/>
          </w:tcPr>
          <w:p>
            <w:pPr>
              <w:ind w:left="4660"/>
              <w:spacing w:after="0"/>
              <w:rPr>
                <w:sz w:val="20"/>
                <w:szCs w:val="20"/>
                <w:color w:val="auto"/>
              </w:rPr>
            </w:pPr>
            <w:r>
              <w:rPr>
                <w:rFonts w:ascii="Times New Roman" w:cs="Times New Roman" w:eastAsia="Times New Roman" w:hAnsi="Times New Roman"/>
                <w:sz w:val="17"/>
                <w:szCs w:val="17"/>
                <w:b w:val="1"/>
                <w:bCs w:val="1"/>
                <w:color w:val="auto"/>
              </w:rPr>
              <w:t>CIVEO CORPORATION</w:t>
            </w: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10"/>
        </w:trPr>
        <w:tc>
          <w:tcPr>
            <w:tcW w:w="9800" w:type="dxa"/>
            <w:vAlign w:val="bottom"/>
          </w:tcPr>
          <w:p>
            <w:pPr>
              <w:ind w:left="338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99"/>
        </w:trPr>
        <w:tc>
          <w:tcPr>
            <w:tcW w:w="9800" w:type="dxa"/>
            <w:vAlign w:val="bottom"/>
          </w:tcPr>
          <w:p>
            <w:pPr>
              <w:spacing w:after="0"/>
              <w:rPr>
                <w:sz w:val="24"/>
                <w:szCs w:val="24"/>
                <w:color w:val="auto"/>
              </w:rPr>
            </w:pPr>
          </w:p>
        </w:tc>
        <w:tc>
          <w:tcPr>
            <w:tcW w:w="1420" w:type="dxa"/>
            <w:vAlign w:val="bottom"/>
            <w:gridSpan w:val="2"/>
          </w:tcPr>
          <w:p>
            <w:pPr>
              <w:jc w:val="right"/>
              <w:ind w:right="760"/>
              <w:spacing w:after="0"/>
              <w:rPr>
                <w:sz w:val="20"/>
                <w:szCs w:val="20"/>
                <w:color w:val="auto"/>
              </w:rPr>
            </w:pPr>
            <w:r>
              <w:rPr>
                <w:rFonts w:ascii="Times New Roman" w:cs="Times New Roman" w:eastAsia="Times New Roman" w:hAnsi="Times New Roman"/>
                <w:sz w:val="17"/>
                <w:szCs w:val="17"/>
                <w:b w:val="1"/>
                <w:bCs w:val="1"/>
                <w:color w:val="auto"/>
                <w:w w:val="99"/>
              </w:rPr>
              <w:t>Page No.</w:t>
            </w:r>
          </w:p>
        </w:tc>
      </w:tr>
      <w:tr>
        <w:trPr>
          <w:trHeight w:val="236"/>
        </w:trPr>
        <w:tc>
          <w:tcPr>
            <w:tcW w:w="98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1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Report of Independent Registered Public Accounting Firm on Consolidated Financial Statements (PCAOB ID: 42)</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69</w:t>
            </w:r>
          </w:p>
        </w:tc>
      </w:tr>
      <w:tr>
        <w:trPr>
          <w:trHeight w:val="218"/>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Report of Independent Registered Public Accounting Firm on Internal Control Over Financial Reporting</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1335FF"/>
              </w:rPr>
              <w:t>71</w:t>
            </w:r>
          </w:p>
        </w:tc>
      </w:tr>
      <w:tr>
        <w:trPr>
          <w:trHeight w:val="21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Consolidated Statements of Operations for the Years Ended December 31, 2025, 2024 and 2023</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72</w:t>
            </w:r>
          </w:p>
        </w:tc>
      </w:tr>
      <w:tr>
        <w:trPr>
          <w:trHeight w:val="218"/>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Consolidated Statements of Comprehensive Income (Loss) for the Years Ended December 31, 2025, 2024 and 2023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1335FF"/>
              </w:rPr>
              <w:t>73</w:t>
            </w:r>
          </w:p>
        </w:tc>
      </w:tr>
      <w:tr>
        <w:trPr>
          <w:trHeight w:val="21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Consolidated Balance Sheets at December 31, 2025 and 2024</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1335FF"/>
              </w:rPr>
              <w:t>74</w:t>
            </w:r>
          </w:p>
        </w:tc>
      </w:tr>
      <w:tr>
        <w:trPr>
          <w:trHeight w:val="218"/>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Consolidated Statements of Changes in Shareholders’ Equity for the Years Ended December 31, 2025, 2024 and 2023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1335FF"/>
              </w:rPr>
              <w:t>75</w:t>
            </w:r>
          </w:p>
        </w:tc>
      </w:tr>
      <w:tr>
        <w:trPr>
          <w:trHeight w:val="21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42424"/>
              </w:rPr>
              <w:t>Consolidated Statements of Cash Flows for the Years Ended December 31, 2025, 2024 and 2023</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rPr>
              <w:t>76</w:t>
            </w:r>
          </w:p>
        </w:tc>
      </w:tr>
      <w:tr>
        <w:trPr>
          <w:trHeight w:val="222"/>
        </w:trPr>
        <w:tc>
          <w:tcPr>
            <w:tcW w:w="9800" w:type="dxa"/>
            <w:vAlign w:val="bottom"/>
          </w:tcPr>
          <w:p>
            <w:pPr>
              <w:ind w:left="20"/>
              <w:spacing w:after="0"/>
              <w:rPr>
                <w:sz w:val="20"/>
                <w:szCs w:val="20"/>
                <w:color w:val="auto"/>
              </w:rPr>
            </w:pPr>
            <w:r>
              <w:rPr>
                <w:rFonts w:ascii="Times New Roman" w:cs="Times New Roman" w:eastAsia="Times New Roman" w:hAnsi="Times New Roman"/>
                <w:sz w:val="17"/>
                <w:szCs w:val="17"/>
                <w:color w:val="242424"/>
              </w:rPr>
              <w:t>Notes to Consolidated Financial Statements</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716470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849" w:right="339" w:bottom="1440" w:gutter="0" w:footer="0" w:header="0"/>
        </w:sectPr>
      </w:pPr>
    </w:p>
    <w:bookmarkStart w:id="71" w:name="page72"/>
    <w:bookmarkEnd w:id="71"/>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w:t>
      </w:r>
      <w:r>
        <w:rPr>
          <w:rFonts w:ascii="Times New Roman" w:cs="Times New Roman" w:eastAsia="Times New Roman" w:hAnsi="Times New Roman"/>
          <w:sz w:val="20"/>
          <w:szCs w:val="20"/>
          <w:b w:val="1"/>
          <w:bCs w:val="1"/>
          <w:color w:val="auto"/>
        </w:rPr>
        <w:t>l</w:t>
      </w:r>
      <w:r>
        <w:rPr>
          <w:rFonts w:ascii="Times New Roman" w:cs="Times New Roman" w:eastAsia="Times New Roman" w:hAnsi="Times New Roman"/>
          <w:sz w:val="17"/>
          <w:szCs w:val="17"/>
          <w:b w:val="1"/>
          <w:bCs w:val="1"/>
          <w:color w:val="auto"/>
        </w:rPr>
        <w:t xml:space="preserve">ic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7"/>
          <w:szCs w:val="17"/>
          <w:b w:val="1"/>
          <w:bCs w:val="1"/>
          <w:color w:val="auto"/>
        </w:rPr>
        <w:t>ccounting Firm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 Civeo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Civeo Corporation (the Company) as of December 31, 2025 and 2024, and the related consolidated statements of operations, comprehensive income (loss),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3, 2026 expressed an unqualified opinion thereon.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72" w:name="page73"/>
    <w:bookmarkEnd w:id="72"/>
    <w:p>
      <w:pPr>
        <w:ind w:left="2560"/>
        <w:spacing w:after="0"/>
        <w:rPr>
          <w:sz w:val="20"/>
          <w:szCs w:val="20"/>
          <w:color w:val="auto"/>
        </w:rPr>
      </w:pPr>
      <w:r>
        <w:rPr>
          <w:rFonts w:ascii="Times New Roman" w:cs="Times New Roman" w:eastAsia="Times New Roman" w:hAnsi="Times New Roman"/>
          <w:sz w:val="16"/>
          <w:szCs w:val="16"/>
          <w:b w:val="1"/>
          <w:bCs w:val="1"/>
          <w:i w:val="1"/>
          <w:iCs w:val="1"/>
          <w:color w:val="auto"/>
        </w:rPr>
        <w:t>Realizability of Deferred Tax Assets</w:t>
      </w:r>
    </w:p>
    <w:p>
      <w:pPr>
        <w:sectPr>
          <w:pgSz w:w="11900" w:h="16838" w:orient="portrait"/>
          <w:cols w:equalWidth="0" w:num="1">
            <w:col w:w="10220"/>
          </w:cols>
          <w:pgMar w:left="320" w:top="885" w:right="135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As more fully described in Note 2 and Note 13 to the consolidated financial statements, at December 31, 2025, the Company had deferred tax assets of $34.6 million, net of a $98.5 million valuation allowance. Deferred tax</w:t>
      </w:r>
    </w:p>
    <w:p>
      <w:pPr>
        <w:spacing w:after="0" w:line="1" w:lineRule="exact"/>
        <w:rPr>
          <w:sz w:val="20"/>
          <w:szCs w:val="20"/>
          <w:color w:val="auto"/>
        </w:rPr>
      </w:pPr>
    </w:p>
    <w:p>
      <w:pPr>
        <w:sectPr>
          <w:pgSz w:w="11900" w:h="16838" w:orient="portrait"/>
          <w:cols w:equalWidth="0" w:num="2">
            <w:col w:w="1840" w:space="720"/>
            <w:col w:w="7660"/>
          </w:cols>
          <w:pgMar w:left="320" w:top="885" w:right="1359" w:bottom="1440" w:gutter="0" w:footer="0" w:header="0"/>
          <w:type w:val="continuous"/>
        </w:sectPr>
      </w:pPr>
    </w:p>
    <w:p>
      <w:pPr>
        <w:ind w:left="2560"/>
        <w:spacing w:after="0" w:line="212" w:lineRule="auto"/>
        <w:rPr>
          <w:sz w:val="20"/>
          <w:szCs w:val="20"/>
          <w:color w:val="auto"/>
        </w:rPr>
      </w:pPr>
      <w:r>
        <w:rPr>
          <w:rFonts w:ascii="Times New Roman" w:cs="Times New Roman" w:eastAsia="Times New Roman" w:hAnsi="Times New Roman"/>
          <w:sz w:val="17"/>
          <w:szCs w:val="17"/>
          <w:color w:val="auto"/>
        </w:rPr>
        <w:t>assets are reduced by a valuation allowance if, based on the weight of all available evidence, in management’s judgment it is more likely than not that some portion, or all, of the deferred tax assets will not be realized.</w:t>
      </w:r>
    </w:p>
    <w:p>
      <w:pPr>
        <w:spacing w:after="0" w:line="1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Auditing management’s assessment of the realizability of its deferred tax assets involved subjectivity because</w:t>
      </w:r>
    </w:p>
    <w:p>
      <w:pPr>
        <w:spacing w:after="0" w:line="2" w:lineRule="exact"/>
        <w:rPr>
          <w:sz w:val="20"/>
          <w:szCs w:val="20"/>
          <w:color w:val="auto"/>
        </w:rPr>
      </w:pPr>
    </w:p>
    <w:p>
      <w:pPr>
        <w:jc w:val="both"/>
        <w:ind w:left="2560"/>
        <w:spacing w:after="0" w:line="219" w:lineRule="auto"/>
        <w:rPr>
          <w:sz w:val="20"/>
          <w:szCs w:val="20"/>
          <w:color w:val="auto"/>
        </w:rPr>
      </w:pPr>
      <w:r>
        <w:rPr>
          <w:rFonts w:ascii="Times New Roman" w:cs="Times New Roman" w:eastAsia="Times New Roman" w:hAnsi="Times New Roman"/>
          <w:sz w:val="17"/>
          <w:szCs w:val="17"/>
          <w:color w:val="auto"/>
        </w:rPr>
        <w:t>the assessment process includes scheduling the use of the applicable deferred tax assets, which includes management’s judgments related to the forecasted future reversals of both deferred tax assets and deferred tax liabilities.</w:t>
      </w:r>
    </w:p>
    <w:p>
      <w:pPr>
        <w:sectPr>
          <w:pgSz w:w="11900" w:h="16838" w:orient="portrait"/>
          <w:cols w:equalWidth="0" w:num="1">
            <w:col w:w="10220"/>
          </w:cols>
          <w:pgMar w:left="320" w:top="885" w:right="1359" w:bottom="1440" w:gutter="0" w:footer="0" w:header="0"/>
          <w:type w:val="continuous"/>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How We Addressed the Matter 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controls over the</w:t>
      </w:r>
    </w:p>
    <w:p>
      <w:pPr>
        <w:spacing w:after="0" w:line="22" w:lineRule="exact"/>
        <w:rPr>
          <w:sz w:val="20"/>
          <w:szCs w:val="20"/>
          <w:color w:val="auto"/>
        </w:rPr>
      </w:pPr>
    </w:p>
    <w:p>
      <w:pPr>
        <w:sectPr>
          <w:pgSz w:w="11900" w:h="16838" w:orient="portrait"/>
          <w:cols w:equalWidth="0" w:num="2">
            <w:col w:w="2260" w:space="300"/>
            <w:col w:w="7660"/>
          </w:cols>
          <w:pgMar w:left="320" w:top="885" w:right="135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i w:val="1"/>
          <w:iCs w:val="1"/>
          <w:color w:val="auto"/>
        </w:rPr>
        <w:t>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Company's process to assess the realizability of its deferred tax assets, including testing the Company’s controls</w:t>
      </w:r>
    </w:p>
    <w:p>
      <w:pPr>
        <w:spacing w:after="0" w:line="1" w:lineRule="exact"/>
        <w:rPr>
          <w:sz w:val="20"/>
          <w:szCs w:val="20"/>
          <w:color w:val="auto"/>
        </w:rPr>
      </w:pPr>
    </w:p>
    <w:p>
      <w:pPr>
        <w:sectPr>
          <w:pgSz w:w="11900" w:h="16838" w:orient="portrait"/>
          <w:cols w:equalWidth="0" w:num="2">
            <w:col w:w="1840" w:space="720"/>
            <w:col w:w="7660"/>
          </w:cols>
          <w:pgMar w:left="320" w:top="885" w:right="1359" w:bottom="1440" w:gutter="0" w:footer="0" w:header="0"/>
          <w:type w:val="continuous"/>
        </w:sectPr>
      </w:pPr>
    </w:p>
    <w:p>
      <w:pPr>
        <w:ind w:left="2560"/>
        <w:spacing w:after="0" w:line="235" w:lineRule="auto"/>
        <w:rPr>
          <w:sz w:val="20"/>
          <w:szCs w:val="20"/>
          <w:color w:val="auto"/>
        </w:rPr>
      </w:pPr>
      <w:r>
        <w:rPr>
          <w:rFonts w:ascii="Times New Roman" w:cs="Times New Roman" w:eastAsia="Times New Roman" w:hAnsi="Times New Roman"/>
          <w:sz w:val="17"/>
          <w:szCs w:val="17"/>
          <w:color w:val="auto"/>
        </w:rPr>
        <w:t>over management's scheduling of the forecasted future reversals of existing deferred tax liabilities.</w:t>
      </w:r>
    </w:p>
    <w:p>
      <w:pPr>
        <w:spacing w:after="0" w:line="20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To test the Company’s assessment of the realizability of its deferred tax assets, our audit procedures included,</w:t>
      </w:r>
    </w:p>
    <w:p>
      <w:pPr>
        <w:spacing w:after="0" w:line="1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among others, testing the completeness and accuracy of the Company’s scheduling of the reversal of existing</w:t>
      </w:r>
    </w:p>
    <w:p>
      <w:pPr>
        <w:ind w:left="2560"/>
        <w:spacing w:after="0" w:line="235" w:lineRule="auto"/>
        <w:rPr>
          <w:sz w:val="20"/>
          <w:szCs w:val="20"/>
          <w:color w:val="auto"/>
        </w:rPr>
      </w:pPr>
      <w:r>
        <w:rPr>
          <w:rFonts w:ascii="Times New Roman" w:cs="Times New Roman" w:eastAsia="Times New Roman" w:hAnsi="Times New Roman"/>
          <w:sz w:val="17"/>
          <w:szCs w:val="17"/>
          <w:color w:val="auto"/>
        </w:rPr>
        <w:t>deferred tax liabilities. With the assistance of our tax specialists, we verified the appropriateness of the</w:t>
      </w:r>
    </w:p>
    <w:p>
      <w:pPr>
        <w:ind w:left="2560"/>
        <w:spacing w:after="0" w:line="220" w:lineRule="auto"/>
        <w:rPr>
          <w:sz w:val="20"/>
          <w:szCs w:val="20"/>
          <w:color w:val="auto"/>
        </w:rPr>
      </w:pPr>
      <w:r>
        <w:rPr>
          <w:rFonts w:ascii="Times New Roman" w:cs="Times New Roman" w:eastAsia="Times New Roman" w:hAnsi="Times New Roman"/>
          <w:sz w:val="17"/>
          <w:szCs w:val="17"/>
          <w:color w:val="auto"/>
        </w:rPr>
        <w:t>projected usage of tax attributes and assessed the reasonableness of the timing of the reversal of the deferred tax</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color w:val="auto"/>
        </w:rPr>
        <w:t>liabilities into taxable income.</w:t>
      </w:r>
    </w:p>
    <w:p>
      <w:pPr>
        <w:sectPr>
          <w:pgSz w:w="11900" w:h="16838" w:orient="portrait"/>
          <w:cols w:equalWidth="0" w:num="1">
            <w:col w:w="10220"/>
          </w:cols>
          <w:pgMar w:left="320" w:top="885"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Ernst &amp; Young LLP</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76200</wp:posOffset>
            </wp:positionV>
            <wp:extent cx="7164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220"/>
          </w:cols>
          <w:pgMar w:left="320" w:top="885" w:right="1359" w:bottom="1440" w:gutter="0" w:footer="0" w:header="0"/>
          <w:type w:val="continuous"/>
        </w:sectPr>
      </w:pPr>
    </w:p>
    <w:bookmarkStart w:id="73" w:name="page74"/>
    <w:bookmarkEnd w:id="73"/>
    <w:p>
      <w:pPr>
        <w:ind w:left="34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 Civeo Corporation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color w:val="auto"/>
        </w:rPr>
        <w:t>We have audited Civeo Corporation’s internal control over financial reporting as of December 31, 2025, based on criteria established in Internal Control— Integrated Framework issued by the Committee of Sponsoring Organizations of the Treadway Commission (2013 framework) (the COSO criteria). In our opinion, Civeo Corporation (the Company) maintained, in all material respects, effective internal control over financial reporting as of December 31, 2025, based on the COSO criteria.</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shareholders' equity and cash flows for each of the three years in the period ended December 31, 2025, and the related notes and our report dated March 3, 2026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6"/>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9"/>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6"/>
        </w:trPr>
        <w:tc>
          <w:tcPr>
            <w:tcW w:w="6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638,849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682,122</w:t>
            </w:r>
          </w:p>
        </w:tc>
        <w:tc>
          <w:tcPr>
            <w:tcW w:w="12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700,805</w:t>
            </w:r>
          </w:p>
        </w:tc>
      </w:tr>
      <w:tr>
        <w:trPr>
          <w:trHeight w:val="20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Costs and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2"/>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services provided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487,761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532,667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530,287</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 expenses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72,605</w:t>
            </w:r>
          </w:p>
        </w:tc>
      </w:tr>
      <w:tr>
        <w:trPr>
          <w:trHeight w:val="202"/>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68,038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75,142</w:t>
            </w: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Impairment expense</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1,395</w:t>
            </w:r>
          </w:p>
        </w:tc>
      </w:tr>
      <w:tr>
        <w:trPr>
          <w:trHeight w:val="202"/>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Gain on sale of McClelland Lake Lodge assets, net</w:t>
            </w: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(18,590)</w:t>
            </w:r>
          </w:p>
        </w:tc>
      </w:tr>
      <w:tr>
        <w:trPr>
          <w:trHeight w:val="20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operating (income) expense</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898</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479</w:t>
            </w:r>
          </w:p>
        </w:tc>
      </w:tr>
      <w:tr>
        <w:trPr>
          <w:trHeight w:val="198"/>
        </w:trPr>
        <w:tc>
          <w:tcPr>
            <w:tcW w:w="63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634,734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680,790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661,318</w:t>
            </w:r>
          </w:p>
        </w:tc>
      </w:tr>
      <w:tr>
        <w:trPr>
          <w:trHeight w:val="20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income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39,487</w:t>
            </w:r>
          </w:p>
        </w:tc>
      </w:tr>
      <w:tr>
        <w:trPr>
          <w:trHeight w:val="154"/>
        </w:trPr>
        <w:tc>
          <w:tcPr>
            <w:tcW w:w="6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(13,177)</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172</w:t>
            </w:r>
          </w:p>
        </w:tc>
      </w:tr>
      <w:tr>
        <w:trPr>
          <w:trHeight w:val="20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income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13,881</w:t>
            </w: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(5,937)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40,363</w:t>
            </w:r>
          </w:p>
        </w:tc>
      </w:tr>
      <w:tr>
        <w:trPr>
          <w:trHeight w:val="20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(10,633)</w:t>
            </w: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29,730</w:t>
            </w:r>
          </w:p>
        </w:tc>
      </w:tr>
      <w:tr>
        <w:trPr>
          <w:trHeight w:val="205"/>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Less: Net loss attributable to noncontrolling interest</w:t>
            </w: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(427)</w:t>
            </w:r>
          </w:p>
        </w:tc>
      </w:tr>
      <w:tr>
        <w:trPr>
          <w:trHeight w:val="200"/>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(loss) attributable to Civeo Corporation</w:t>
            </w:r>
          </w:p>
        </w:tc>
        <w:tc>
          <w:tcPr>
            <w:tcW w:w="3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(20,071)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(17,067)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30,157</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19"/>
        </w:trPr>
        <w:tc>
          <w:tcPr>
            <w:tcW w:w="6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54"/>
        </w:trPr>
        <w:tc>
          <w:tcPr>
            <w:tcW w:w="6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Per Share Data (see Note 6)</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Basic net income (loss) per share attributable to Civeo Corporation common shareholders</w:t>
            </w: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2.02</w:t>
            </w:r>
          </w:p>
        </w:tc>
      </w:tr>
      <w:tr>
        <w:trPr>
          <w:trHeight w:val="156"/>
        </w:trPr>
        <w:tc>
          <w:tcPr>
            <w:tcW w:w="6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Diluted net income (loss) per share attributable to Civeo Corporation common shareholders</w:t>
            </w:r>
          </w:p>
        </w:tc>
        <w:tc>
          <w:tcPr>
            <w:tcW w:w="36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2.01</w:t>
            </w:r>
          </w:p>
        </w:tc>
      </w:tr>
      <w:tr>
        <w:trPr>
          <w:trHeight w:val="156"/>
        </w:trPr>
        <w:tc>
          <w:tcPr>
            <w:tcW w:w="6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number of common shares outstanding:</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Basic</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14,906</w:t>
            </w:r>
          </w:p>
        </w:tc>
      </w:tr>
      <w:tr>
        <w:trPr>
          <w:trHeight w:val="200"/>
        </w:trPr>
        <w:tc>
          <w:tcPr>
            <w:tcW w:w="63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14,287</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15,013</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716470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1079" w:right="33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9"/>
        </w:trPr>
        <w:tc>
          <w:tcPr>
            <w:tcW w:w="67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22"/>
        </w:trPr>
        <w:tc>
          <w:tcPr>
            <w:tcW w:w="6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0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(20,076)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29,730</w:t>
            </w:r>
          </w:p>
        </w:tc>
      </w:tr>
      <w:tr>
        <w:trPr>
          <w:trHeight w:val="123"/>
        </w:trPr>
        <w:tc>
          <w:tcPr>
            <w:tcW w:w="6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 (loss), net of taxes: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2"/>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zero taxes</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(24,029)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4,532</w:t>
            </w: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other comprehensive income (loss), net of taxes</w:t>
            </w: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(24,029)</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4,532</w:t>
            </w:r>
          </w:p>
        </w:tc>
      </w:tr>
      <w:tr>
        <w:trPr>
          <w:trHeight w:val="123"/>
        </w:trPr>
        <w:tc>
          <w:tcPr>
            <w:tcW w:w="6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(42,458)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34,262</w:t>
            </w:r>
          </w:p>
        </w:tc>
      </w:tr>
      <w:tr>
        <w:trPr>
          <w:trHeight w:val="202"/>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Less: Comprehensive loss attributable to noncontrolling interest</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(1,506)</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(367)</w:t>
            </w:r>
          </w:p>
        </w:tc>
      </w:tr>
      <w:tr>
        <w:trPr>
          <w:trHeight w:val="22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income (loss) attributable to Civeo Corporation</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(40,952)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34,629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68580</wp:posOffset>
            </wp:positionV>
            <wp:extent cx="716470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20"/>
          </w:cols>
          <w:pgMar w:left="340" w:top="849"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8000" w:type="dxa"/>
            <w:vAlign w:val="bottom"/>
          </w:tcPr>
          <w:p>
            <w:pPr>
              <w:ind w:left="3660"/>
              <w:spacing w:after="0"/>
              <w:rPr>
                <w:sz w:val="20"/>
                <w:szCs w:val="20"/>
                <w:color w:val="auto"/>
              </w:rPr>
            </w:pPr>
            <w:r>
              <w:rPr>
                <w:rFonts w:ascii="Times New Roman" w:cs="Times New Roman" w:eastAsia="Times New Roman" w:hAnsi="Times New Roman"/>
                <w:sz w:val="15"/>
                <w:szCs w:val="15"/>
                <w:color w:val="auto"/>
              </w:rPr>
              <w:t>ASSETS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80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14,439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5,204</w:t>
            </w:r>
          </w:p>
        </w:tc>
        <w:tc>
          <w:tcPr>
            <w:tcW w:w="0" w:type="dxa"/>
            <w:vAlign w:val="bottom"/>
          </w:tcPr>
          <w:p>
            <w:pPr>
              <w:spacing w:after="0"/>
              <w:rPr>
                <w:sz w:val="1"/>
                <w:szCs w:val="1"/>
                <w:color w:val="auto"/>
              </w:rPr>
            </w:pPr>
          </w:p>
        </w:tc>
      </w:tr>
      <w:tr>
        <w:trPr>
          <w:trHeight w:val="218"/>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receivable, net</w:t>
            </w: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90,470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89,038</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6,218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7,537</w:t>
            </w:r>
          </w:p>
        </w:tc>
        <w:tc>
          <w:tcPr>
            <w:tcW w:w="0" w:type="dxa"/>
            <w:vAlign w:val="bottom"/>
          </w:tcPr>
          <w:p>
            <w:pPr>
              <w:spacing w:after="0"/>
              <w:rPr>
                <w:sz w:val="1"/>
                <w:szCs w:val="1"/>
                <w:color w:val="auto"/>
              </w:rPr>
            </w:pPr>
          </w:p>
        </w:tc>
      </w:tr>
      <w:tr>
        <w:trPr>
          <w:trHeight w:val="218"/>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Prepaid expenses</w:t>
            </w: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17,209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7,464</w:t>
            </w: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2,877</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1,210</w:t>
            </w:r>
          </w:p>
        </w:tc>
        <w:tc>
          <w:tcPr>
            <w:tcW w:w="0" w:type="dxa"/>
            <w:vAlign w:val="bottom"/>
          </w:tcPr>
          <w:p>
            <w:pPr>
              <w:spacing w:after="0"/>
              <w:rPr>
                <w:sz w:val="1"/>
                <w:szCs w:val="1"/>
                <w:color w:val="auto"/>
              </w:rPr>
            </w:pPr>
          </w:p>
        </w:tc>
      </w:tr>
      <w:tr>
        <w:trPr>
          <w:trHeight w:val="195"/>
        </w:trPr>
        <w:tc>
          <w:tcPr>
            <w:tcW w:w="80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131,213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110,453</w:t>
            </w:r>
          </w:p>
        </w:tc>
        <w:tc>
          <w:tcPr>
            <w:tcW w:w="0" w:type="dxa"/>
            <w:vAlign w:val="bottom"/>
          </w:tcPr>
          <w:p>
            <w:pPr>
              <w:spacing w:after="0"/>
              <w:rPr>
                <w:sz w:val="1"/>
                <w:szCs w:val="1"/>
                <w:color w:val="auto"/>
              </w:rPr>
            </w:pPr>
          </w:p>
        </w:tc>
      </w:tr>
      <w:tr>
        <w:trPr>
          <w:trHeight w:val="85"/>
        </w:trPr>
        <w:tc>
          <w:tcPr>
            <w:tcW w:w="80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244,517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204,897</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7,541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7,001</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70,410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66,502</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14,485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9,401</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9,245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6,818</w:t>
            </w:r>
          </w:p>
        </w:tc>
        <w:tc>
          <w:tcPr>
            <w:tcW w:w="0" w:type="dxa"/>
            <w:vAlign w:val="bottom"/>
          </w:tcPr>
          <w:p>
            <w:pPr>
              <w:spacing w:after="0"/>
              <w:rPr>
                <w:sz w:val="1"/>
                <w:szCs w:val="1"/>
                <w:color w:val="auto"/>
              </w:rPr>
            </w:pPr>
          </w:p>
        </w:tc>
      </w:tr>
      <w:tr>
        <w:trPr>
          <w:trHeight w:val="225"/>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assets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477,411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405,072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360"/>
              <w:spacing w:after="0"/>
              <w:rPr>
                <w:sz w:val="20"/>
                <w:szCs w:val="20"/>
                <w:color w:val="auto"/>
              </w:rPr>
            </w:pPr>
            <w:r>
              <w:rPr>
                <w:rFonts w:ascii="Times New Roman" w:cs="Times New Roman" w:eastAsia="Times New Roman" w:hAnsi="Times New Roman"/>
                <w:sz w:val="15"/>
                <w:szCs w:val="15"/>
                <w:color w:val="auto"/>
              </w:rPr>
              <w:t>LIABILITIES AND SHAREHOLDERS’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44,282</w:t>
            </w:r>
          </w:p>
        </w:tc>
        <w:tc>
          <w:tcPr>
            <w:tcW w:w="100" w:type="dxa"/>
            <w:vAlign w:val="bottom"/>
          </w:tcPr>
          <w:p>
            <w:pPr>
              <w:spacing w:after="0"/>
              <w:rPr>
                <w:sz w:val="17"/>
                <w:szCs w:val="17"/>
                <w:color w:val="auto"/>
              </w:rPr>
            </w:pPr>
          </w:p>
        </w:tc>
        <w:tc>
          <w:tcPr>
            <w:tcW w:w="50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39,971</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Accrued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30,837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34,933</w:t>
            </w:r>
          </w:p>
        </w:tc>
        <w:tc>
          <w:tcPr>
            <w:tcW w:w="0" w:type="dxa"/>
            <w:vAlign w:val="bottom"/>
          </w:tcPr>
          <w:p>
            <w:pPr>
              <w:spacing w:after="0"/>
              <w:rPr>
                <w:sz w:val="1"/>
                <w:szCs w:val="1"/>
                <w:color w:val="auto"/>
              </w:rPr>
            </w:pPr>
          </w:p>
        </w:tc>
      </w:tr>
      <w:tr>
        <w:trPr>
          <w:trHeight w:val="202"/>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Income taxes</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10,853</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2,903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2,501</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6,761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4,388</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84,936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92,646</w:t>
            </w: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debt, less current maturities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182,842</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43,299</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Times New Roman" w:cs="Times New Roman" w:eastAsia="Times New Roman" w:hAnsi="Times New Roman"/>
                <w:sz w:val="15"/>
                <w:szCs w:val="15"/>
                <w:color w:val="auto"/>
              </w:rPr>
              <w:t>3,318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3,558</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11,142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6,655</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20,789</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21,916</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303,027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168,074</w:t>
            </w: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8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Shareholders’ equity: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800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Common shares (no par value; 46,000,000 shares authorized, 11,872,028 shares and 14,067,721 shares issued, respectively, and</w:t>
            </w:r>
          </w:p>
        </w:tc>
        <w:tc>
          <w:tcPr>
            <w:tcW w:w="34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3"/>
                <w:szCs w:val="13"/>
                <w:color w:val="auto"/>
              </w:rPr>
            </w:pP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11,434,033 shares and 13,653,647 shares outstanding, respectively)</w:t>
            </w:r>
          </w:p>
        </w:tc>
        <w:tc>
          <w:tcPr>
            <w:tcW w:w="3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1,634,883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1,631,823</w:t>
            </w:r>
          </w:p>
        </w:tc>
        <w:tc>
          <w:tcPr>
            <w:tcW w:w="0" w:type="dxa"/>
            <w:vAlign w:val="bottom"/>
          </w:tcPr>
          <w:p>
            <w:pPr>
              <w:spacing w:after="0"/>
              <w:rPr>
                <w:sz w:val="1"/>
                <w:szCs w:val="1"/>
                <w:color w:val="auto"/>
              </w:rPr>
            </w:pPr>
          </w:p>
        </w:tc>
      </w:tr>
      <w:tr>
        <w:trPr>
          <w:trHeight w:val="202"/>
        </w:trPr>
        <w:tc>
          <w:tcPr>
            <w:tcW w:w="80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Accumulated deficit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(1,058,911)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(980,720)</w:t>
            </w: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shares held in treasury at cost, 437,995 and 414,074 shares, respectively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(10,130)</w:t>
            </w:r>
          </w:p>
        </w:tc>
        <w:tc>
          <w:tcPr>
            <w:tcW w:w="0" w:type="dxa"/>
            <w:vAlign w:val="bottom"/>
          </w:tcPr>
          <w:p>
            <w:pPr>
              <w:spacing w:after="0"/>
              <w:rPr>
                <w:sz w:val="1"/>
                <w:szCs w:val="1"/>
                <w:color w:val="auto"/>
              </w:rPr>
            </w:pPr>
          </w:p>
        </w:tc>
      </w:tr>
      <w:tr>
        <w:trPr>
          <w:trHeight w:val="202"/>
        </w:trPr>
        <w:tc>
          <w:tcPr>
            <w:tcW w:w="8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(390,813)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(404,600)</w:t>
            </w:r>
          </w:p>
        </w:tc>
        <w:tc>
          <w:tcPr>
            <w:tcW w:w="0" w:type="dxa"/>
            <w:vAlign w:val="bottom"/>
          </w:tcPr>
          <w:p>
            <w:pPr>
              <w:spacing w:after="0"/>
              <w:rPr>
                <w:sz w:val="1"/>
                <w:szCs w:val="1"/>
                <w:color w:val="auto"/>
              </w:rPr>
            </w:pPr>
          </w:p>
        </w:tc>
      </w:tr>
      <w:tr>
        <w:trPr>
          <w:trHeight w:val="200"/>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Civeo Corporation shareholders’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174,384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236,373</w:t>
            </w:r>
          </w:p>
        </w:tc>
        <w:tc>
          <w:tcPr>
            <w:tcW w:w="0" w:type="dxa"/>
            <w:vAlign w:val="bottom"/>
          </w:tcPr>
          <w:p>
            <w:pPr>
              <w:spacing w:after="0"/>
              <w:rPr>
                <w:sz w:val="1"/>
                <w:szCs w:val="1"/>
                <w:color w:val="auto"/>
              </w:rPr>
            </w:pPr>
          </w:p>
        </w:tc>
      </w:tr>
      <w:tr>
        <w:trPr>
          <w:trHeight w:val="195"/>
        </w:trPr>
        <w:tc>
          <w:tcPr>
            <w:tcW w:w="80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6"/>
                <w:szCs w:val="16"/>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625</w:t>
            </w:r>
          </w:p>
        </w:tc>
        <w:tc>
          <w:tcPr>
            <w:tcW w:w="0" w:type="dxa"/>
            <w:vAlign w:val="bottom"/>
          </w:tcPr>
          <w:p>
            <w:pPr>
              <w:spacing w:after="0"/>
              <w:rPr>
                <w:sz w:val="1"/>
                <w:szCs w:val="1"/>
                <w:color w:val="auto"/>
              </w:rPr>
            </w:pPr>
          </w:p>
        </w:tc>
      </w:tr>
      <w:tr>
        <w:trPr>
          <w:trHeight w:val="198"/>
        </w:trPr>
        <w:tc>
          <w:tcPr>
            <w:tcW w:w="80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shareholders’ equity</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5"/>
                <w:szCs w:val="15"/>
                <w:color w:val="auto"/>
              </w:rPr>
              <w:t>174,384</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236,998</w:t>
            </w:r>
          </w:p>
        </w:tc>
        <w:tc>
          <w:tcPr>
            <w:tcW w:w="0" w:type="dxa"/>
            <w:vAlign w:val="bottom"/>
          </w:tcPr>
          <w:p>
            <w:pPr>
              <w:spacing w:after="0"/>
              <w:rPr>
                <w:sz w:val="1"/>
                <w:szCs w:val="1"/>
                <w:color w:val="auto"/>
              </w:rPr>
            </w:pPr>
          </w:p>
        </w:tc>
      </w:tr>
      <w:tr>
        <w:trPr>
          <w:trHeight w:val="200"/>
        </w:trPr>
        <w:tc>
          <w:tcPr>
            <w:tcW w:w="80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liabilities and shareholders’ equity</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5"/>
                <w:szCs w:val="15"/>
                <w:color w:val="auto"/>
              </w:rPr>
              <w:t>477,411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405,072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68580</wp:posOffset>
            </wp:positionV>
            <wp:extent cx="716470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980"/>
          </w:cols>
          <w:pgMar w:left="540" w:top="849" w:right="3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2"/>
                <w:szCs w:val="12"/>
                <w:b w:val="1"/>
                <w:bCs w:val="1"/>
                <w:color w:val="auto"/>
              </w:rPr>
              <w:t>Attributable to Civeo</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ind w:left="60"/>
              <w:spacing w:after="0" w:line="115"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center"/>
              <w:ind w:right="220"/>
              <w:spacing w:after="0" w:line="103"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5"/>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15"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15"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5" w:lineRule="exact"/>
              <w:rPr>
                <w:sz w:val="20"/>
                <w:szCs w:val="20"/>
                <w:color w:val="auto"/>
              </w:rPr>
            </w:pPr>
            <w:r>
              <w:rPr>
                <w:rFonts w:ascii="Times New Roman" w:cs="Times New Roman" w:eastAsia="Times New Roman" w:hAnsi="Times New Roman"/>
                <w:sz w:val="12"/>
                <w:szCs w:val="12"/>
                <w:b w:val="1"/>
                <w:bCs w:val="1"/>
                <w:color w:val="auto"/>
                <w:w w:val="99"/>
              </w:rPr>
              <w:t>Shareholders’</w:t>
            </w:r>
          </w:p>
        </w:tc>
        <w:tc>
          <w:tcPr>
            <w:tcW w:w="0" w:type="dxa"/>
            <w:vAlign w:val="bottom"/>
          </w:tcPr>
          <w:p>
            <w:pPr>
              <w:spacing w:after="0"/>
              <w:rPr>
                <w:sz w:val="1"/>
                <w:szCs w:val="1"/>
                <w:color w:val="auto"/>
              </w:rPr>
            </w:pPr>
          </w:p>
        </w:tc>
      </w:tr>
      <w:tr>
        <w:trPr>
          <w:trHeight w:val="172"/>
        </w:trPr>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Par Value</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4"/>
              </w:rPr>
              <w:t>Interest</w:t>
            </w:r>
          </w:p>
        </w:tc>
        <w:tc>
          <w:tcPr>
            <w:tcW w:w="12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1,624,512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(930,123)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(385,187)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303,701</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29,730</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0" w:type="dxa"/>
            <w:vAlign w:val="bottom"/>
          </w:tcPr>
          <w:p>
            <w:pPr>
              <w:spacing w:after="0"/>
              <w:rPr>
                <w:sz w:val="1"/>
                <w:szCs w:val="1"/>
                <w:color w:val="auto"/>
              </w:rPr>
            </w:pPr>
          </w:p>
        </w:tc>
      </w:tr>
      <w:tr>
        <w:trPr>
          <w:trHeight w:val="19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1,628,972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(919,023)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(9,063)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(380,715)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323,038</w:t>
            </w:r>
          </w:p>
        </w:tc>
        <w:tc>
          <w:tcPr>
            <w:tcW w:w="0" w:type="dxa"/>
            <w:vAlign w:val="bottom"/>
          </w:tcPr>
          <w:p>
            <w:pPr>
              <w:spacing w:after="0"/>
              <w:rPr>
                <w:sz w:val="1"/>
                <w:szCs w:val="1"/>
                <w:color w:val="auto"/>
              </w:rPr>
            </w:pPr>
          </w:p>
        </w:tc>
      </w:tr>
      <w:tr>
        <w:trPr>
          <w:trHeight w:val="17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(17,067)</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(18,429)</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(24,029)</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(15,158)</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shares repurchases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(29,616)</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0" w:type="dxa"/>
            <w:vAlign w:val="bottom"/>
          </w:tcPr>
          <w:p>
            <w:pPr>
              <w:spacing w:after="0"/>
              <w:rPr>
                <w:sz w:val="1"/>
                <w:szCs w:val="1"/>
                <w:color w:val="auto"/>
              </w:rPr>
            </w:pPr>
          </w:p>
        </w:tc>
      </w:tr>
      <w:tr>
        <w:trPr>
          <w:trHeight w:val="179"/>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1,631,823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(980,720)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(10,130)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(404,600)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236,998</w:t>
            </w:r>
          </w:p>
        </w:tc>
        <w:tc>
          <w:tcPr>
            <w:tcW w:w="0" w:type="dxa"/>
            <w:vAlign w:val="bottom"/>
          </w:tcPr>
          <w:p>
            <w:pPr>
              <w:spacing w:after="0"/>
              <w:rPr>
                <w:sz w:val="1"/>
                <w:szCs w:val="1"/>
                <w:color w:val="auto"/>
              </w:rPr>
            </w:pPr>
          </w:p>
        </w:tc>
      </w:tr>
      <w:tr>
        <w:trPr>
          <w:trHeight w:val="191"/>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(20,076)</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13,788</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paid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 repurchased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(53,612)</w:t>
            </w:r>
          </w:p>
        </w:tc>
        <w:tc>
          <w:tcPr>
            <w:tcW w:w="0" w:type="dxa"/>
            <w:vAlign w:val="bottom"/>
          </w:tcPr>
          <w:p>
            <w:pPr>
              <w:spacing w:after="0"/>
              <w:rPr>
                <w:sz w:val="1"/>
                <w:szCs w:val="1"/>
                <w:color w:val="auto"/>
              </w:rPr>
            </w:pPr>
          </w:p>
        </w:tc>
      </w:tr>
      <w:tr>
        <w:trPr>
          <w:trHeight w:val="20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Excise tax on common shares repurchased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0" w:type="dxa"/>
            <w:vAlign w:val="bottom"/>
          </w:tcPr>
          <w:p>
            <w:pPr>
              <w:spacing w:after="0"/>
              <w:rPr>
                <w:sz w:val="1"/>
                <w:szCs w:val="1"/>
                <w:color w:val="auto"/>
              </w:rPr>
            </w:pPr>
          </w:p>
        </w:tc>
      </w:tr>
      <w:tr>
        <w:trPr>
          <w:trHeight w:val="21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1,634,883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(1,058,911)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(390,813)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174,384</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Common Shares (in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15,218</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26</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14,680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13,654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90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11,434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78" w:name="page79"/>
    <w:bookmarkEnd w:id="7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CIVEO CORPORATION</w:t>
      </w: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198"/>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(loss)</w:t>
            </w: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(18,429)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29,730</w:t>
            </w:r>
          </w:p>
        </w:tc>
      </w:tr>
      <w:tr>
        <w:trPr>
          <w:trHeight w:val="202"/>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75,142</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Impairment charges</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1,395</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income tax expense (benefit)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6,806</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Non-cash compensation charge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4,460</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Gain on disposals of assets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(21,196)</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Provision for credit losses, net of recoveries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net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44,228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(22,311)</w:t>
            </w:r>
          </w:p>
        </w:tc>
      </w:tr>
      <w:tr>
        <w:trPr>
          <w:trHeight w:val="202"/>
        </w:trPr>
        <w:tc>
          <w:tcPr>
            <w:tcW w:w="6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Inventories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r>
      <w:tr>
        <w:trPr>
          <w:trHeight w:val="207"/>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7,438</w:t>
            </w:r>
          </w:p>
        </w:tc>
      </w:tr>
      <w:tr>
        <w:trPr>
          <w:trHeight w:val="202"/>
        </w:trPr>
        <w:tc>
          <w:tcPr>
            <w:tcW w:w="674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Taxes payable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3,576</w:t>
            </w:r>
          </w:p>
        </w:tc>
      </w:tr>
      <w:tr>
        <w:trPr>
          <w:trHeight w:val="207"/>
        </w:trPr>
        <w:tc>
          <w:tcPr>
            <w:tcW w:w="6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 and liabilities,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9,725</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flows provided by operating activities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96,565</w:t>
            </w:r>
          </w:p>
        </w:tc>
      </w:tr>
      <w:tr>
        <w:trPr>
          <w:trHeight w:val="207"/>
        </w:trPr>
        <w:tc>
          <w:tcPr>
            <w:tcW w:w="6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2"/>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Capital expenditures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(26,138)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(31,633)</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Payments related to acquisitions, net of cash acquired</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(72,168)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disposition of property, plant and equipment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16,740</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net</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w:t>
            </w:r>
          </w:p>
        </w:tc>
      </w:tr>
      <w:tr>
        <w:trPr>
          <w:trHeight w:val="200"/>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(90,111)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(14,944)</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(14,521)</w:t>
            </w:r>
          </w:p>
        </w:tc>
      </w:tr>
      <w:tr>
        <w:trPr>
          <w:trHeight w:val="205"/>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Revolving credit borrowings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284,314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210,584</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Revolving credit repayments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(301,431)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(248,430)</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Term loan repayments</w:t>
            </w:r>
          </w:p>
        </w:tc>
        <w:tc>
          <w:tcPr>
            <w:tcW w:w="3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(29,899)</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Dividends paid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(7,423)</w:t>
            </w: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Debt issuance costs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(2,976)</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7"/>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Repurchases of common shares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(11,634)</w:t>
            </w:r>
          </w:p>
        </w:tc>
      </w:tr>
      <w:tr>
        <w:trPr>
          <w:trHeight w:val="202"/>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Other,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(1,067)</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flows provided by (used in) financing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(65,198)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(86,802)</w:t>
            </w:r>
          </w:p>
        </w:tc>
      </w:tr>
      <w:tr>
        <w:trPr>
          <w:trHeight w:val="205"/>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195"/>
        </w:trPr>
        <w:tc>
          <w:tcPr>
            <w:tcW w:w="6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and cash equivalents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(4,631)</w:t>
            </w:r>
          </w:p>
        </w:tc>
      </w:tr>
      <w:tr>
        <w:trPr>
          <w:trHeight w:val="207"/>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7,954</w:t>
            </w:r>
          </w:p>
        </w:tc>
      </w:tr>
      <w:tr>
        <w:trPr>
          <w:trHeight w:val="205"/>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2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0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Non-cash investing activities: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2"/>
        </w:trPr>
        <w:tc>
          <w:tcPr>
            <w:tcW w:w="6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Capital expenditure additions accrued at end of period</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w:t>
            </w:r>
          </w:p>
        </w:tc>
        <w:tc>
          <w:tcPr>
            <w:tcW w:w="120" w:type="dxa"/>
            <w:vAlign w:val="bottom"/>
          </w:tcPr>
          <w:p>
            <w:pPr>
              <w:spacing w:after="0"/>
              <w:rPr>
                <w:sz w:val="17"/>
                <w:szCs w:val="17"/>
                <w:color w:val="auto"/>
              </w:rPr>
            </w:pPr>
          </w:p>
        </w:tc>
        <w:tc>
          <w:tcPr>
            <w:tcW w:w="40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510</w:t>
            </w:r>
          </w:p>
        </w:tc>
      </w:tr>
      <w:tr>
        <w:trPr>
          <w:trHeight w:val="207"/>
        </w:trPr>
        <w:tc>
          <w:tcPr>
            <w:tcW w:w="6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bl>
    <w:p>
      <w:pPr>
        <w:spacing w:after="0" w:line="2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200" w:lineRule="exact"/>
        <w:rPr>
          <w:sz w:val="20"/>
          <w:szCs w:val="20"/>
          <w:color w:val="auto"/>
        </w:rPr>
      </w:pPr>
    </w:p>
    <w:p>
      <w:pPr>
        <w:spacing w:after="0" w:line="3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68580</wp:posOffset>
            </wp:positionV>
            <wp:extent cx="716470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480" w:top="849" w:right="239" w:bottom="1440" w:gutter="0" w:footer="0" w:header="0"/>
        </w:sectPr>
      </w:pPr>
    </w:p>
    <w:bookmarkStart w:id="79" w:name="page80"/>
    <w:bookmarkEnd w:id="79"/>
    <w:p>
      <w:pPr>
        <w:ind w:left="300" w:hanging="298"/>
        <w:spacing w:after="0"/>
        <w:tabs>
          <w:tab w:leader="none" w:pos="3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BASIS OF PRESENTATION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the Business</w:t>
      </w:r>
    </w:p>
    <w:p>
      <w:pPr>
        <w:spacing w:after="0" w:line="24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provide hospitality services to remote workforces in Australia and Canada, including catering and food service, lodging, housekeeping and maintenance at accommodation facilities that we or our customers own. We provide services that support the day-to-day operations of these facilities, such as laundry, facility management and maintenance, water and wastewater treatment, power generation, communication systems, security and logistics. We also manage development activities for workforce accommodation facilities, including site selection, permitting, engineering and design and manufacturing and site construction management, along with providing hospitality services once the facility is constructed. We primarily operate in some of the world’s most active metallurgical (met) coal, oil, iron ore and liquefied natural gas (LNG) producing regions, and our customers include mining companies, major and independent oil companies, construction, engineering companies and oilfield and mining service companies. We operate in two principal reportable business segments – Australia and Canada.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United States (U.S.) dollars. Certain reclassifications have been made to the prior year financial statements for them to conform with the 2025 presentation.</w:t>
      </w:r>
    </w:p>
    <w:p>
      <w:pPr>
        <w:spacing w:after="0" w:line="189" w:lineRule="exact"/>
        <w:rPr>
          <w:sz w:val="20"/>
          <w:szCs w:val="20"/>
          <w:color w:val="auto"/>
        </w:rPr>
      </w:pPr>
    </w:p>
    <w:p>
      <w:pPr>
        <w:ind w:left="300" w:hanging="298"/>
        <w:spacing w:after="0"/>
        <w:tabs>
          <w:tab w:leader="none" w:pos="30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consider all highly liquid investments purchased with an original maturity of three months or less to be cash equivalents.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220" w:lineRule="exact"/>
        <w:rPr>
          <w:sz w:val="20"/>
          <w:szCs w:val="20"/>
          <w:color w:val="auto"/>
        </w:rPr>
      </w:pPr>
    </w:p>
    <w:p>
      <w:pPr>
        <w:jc w:val="both"/>
        <w:ind w:firstLine="461"/>
        <w:spacing w:after="0" w:line="254" w:lineRule="auto"/>
        <w:rPr>
          <w:sz w:val="20"/>
          <w:szCs w:val="20"/>
          <w:color w:val="auto"/>
        </w:rPr>
      </w:pPr>
      <w:r>
        <w:rPr>
          <w:rFonts w:ascii="Times New Roman" w:cs="Times New Roman" w:eastAsia="Times New Roman" w:hAnsi="Times New Roman"/>
          <w:sz w:val="17"/>
          <w:szCs w:val="17"/>
          <w:color w:val="auto"/>
        </w:rPr>
        <w:t>We are exposed to credit losses primarily through the sale of our products and services. We maintain allowances for credit losses for estimated losses resulting from the inability of our customers to make required payments. If a trade receivable is deemed to be uncollectible, such receivable is charged-off against the allowance for credit losses account. Our expected loss allowance methodology for accounts receivable is developed using historical collection experience, current and future economic and market conditions and a review of the current status of customers' trade receivables. Due to the short-term nature of such receivables, the estimate of the amount of accounts receivable that may not be collected is based on an aging of the accounts receivable balances and the financial condition of customers. Additionally, specific allowance amounts are established to record the appropriate provision for customers that have a higher probability of default. If we have no previous experience with the customer, we typically obtain reports from various credit organizations to ensure that the customer has a history of paying its creditors. We may also request financial information, including combined financial statements or other documents, to ensure that the customer has the means of making payment. If these factors do not indicate collection is reasonably assured, we generally would require a prepayment or other arrangement to support revenue recognition and recording of a trade receivable. If the financial condition of our customers were to deteriorate, adversely affecting their ability to make payments, additional allowances would be required.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22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Inventories consist of supplies and materials for the operation of remote accommodation facilities. Inventories also include food, raw materials, labor, subcontractor charges and catering and other supplies needed for operation of our facilities. Inventories are carried at the lower of cost or net realizable value. The cost of inventories is determined on an average cost or specific-identification method.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22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Property, plant and equipment are stated at cost or at estimated fair market value at acquisition date if acquired in a business combination, and depreciation is computed using the straight-line method, after allowing for salvage value where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80" w:name="page81"/>
    <w:bookmarkEnd w:id="80"/>
    <w:p>
      <w:pPr>
        <w:jc w:val="both"/>
        <w:spacing w:after="0" w:line="284" w:lineRule="auto"/>
        <w:rPr>
          <w:sz w:val="20"/>
          <w:szCs w:val="20"/>
          <w:color w:val="auto"/>
        </w:rPr>
      </w:pPr>
      <w:r>
        <w:rPr>
          <w:rFonts w:ascii="Times New Roman" w:cs="Times New Roman" w:eastAsia="Times New Roman" w:hAnsi="Times New Roman"/>
          <w:sz w:val="17"/>
          <w:szCs w:val="17"/>
          <w:color w:val="auto"/>
        </w:rPr>
        <w:t>applicable, over the estimated useful lives of the assets. Leasehold improvements are capitalized and amortized over the lesser of the life of the lease or the estimated useful life of the asset.</w:t>
      </w:r>
    </w:p>
    <w:p>
      <w:pPr>
        <w:spacing w:after="0" w:line="178"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record the fair value of a liability, which reflects the estimated present value of the amount of asset removal and site reclamation costs related to the retirement of our assets, for an asset retirement obligation (ARO) when it is incurred (typically when the asset is installed). When the liability is initially recorded, we capitalize the associated asset retirement cost by increasing the carrying amount of the related property, plant and equipment. See Asset Retirement Obligations below for further discussion.</w:t>
      </w:r>
    </w:p>
    <w:p>
      <w:pPr>
        <w:spacing w:after="0" w:line="171"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consolidated statements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46"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We evaluate acquisitions of assets and other similar transactions to assess whether or not the transaction should be accounted for as a business combination or asset acquisition by assessing whether or not we have acquired inputs and processes that have the ability to create outputs. If determined to be an asset acquisition, we account for a business acquisition under the principles described in Accounting Standards Codification 805 for Business Combinations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spacing w:after="0" w:line="205"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If determined to be a business combination, we account for a business acquisition under the acquisition method of accounting. The accounting rules governing business combinations require the acquiring entity in a business combination to recognize the fair value of all assets acquired and liabilities assumed and establish the acquisition date as the fair value measurement point. Accordingly, we recognize assets acquired and liabilities assumed in a business combination based on the fair value estimates as of the date of acquisition. Goodwill is measured as the excess of the fair value of the consideration paid over the fair value of the identified net assets, including intangible assets, acquired.</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fair value measurement of the identified net assets requires the significant use of estimates and is based on information that was available to management at the time the purchase price allocation is prepared. We utilize recognized valuation techniques, including the cost approach, the market approach and the income approach, to value the net assets acquired. The impact of changes to the estimated fair values of assets acquired and liabilities assumed is recorded in the reporting period in which the adjustment is identified. Final valuations of assets and liabilities are obtained and recorded within one year from the date of the acquisition.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2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recoverability of the carrying values of long-lived assets, including amortizable intangible assets, is assessed whenever, in management’s judgment, events or changes in circumstances indicate that the carrying value of such asset groups may not be recoverable based on estimated future cash flows. If this assessment indicates that the carrying values will not be recoverable, as determined based on undiscounted cash flows over the remaining useful lives, an impairment loss is recognized. The impairment loss equals the excess of the carrying value over the fair value of the asset group.</w:t>
      </w:r>
    </w:p>
    <w:p>
      <w:pPr>
        <w:spacing w:after="0" w:line="196"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In performing this analysis, asset groups are reviewed at the lowest level for which identifiable cash flows are largely independent of the cash flows of other assets and liabilities. For each asset group, we compare its carrying value to estimates of undiscounted future cash flows. We use a variety of underlying assumptions to estimate these future cash flows, including assumptions relating to future economic market conditions, rates, occupancy levels, costs and expenses and capital expenditures. The estimates are consistent with those used for purposes of our goodwill impairment test, as further discussed in Goodwill and Other Intangible Assets, below. Based on the assessment, if the carrying values of certain of our asset groups are determined to not be recoverable, we proceed to the next step. In this step, we compare the fair value of the respective asset group to its carrying value. The fair value of the asset groups are based on prices of similar assets, if available, or discounted future cash flows. Our estimate of the fair value requires us to use significant unobservable inputs, representative of Level 3 fair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1" w:name="page82"/>
    <w:bookmarkEnd w:id="81"/>
    <w:p>
      <w:pPr>
        <w:jc w:val="both"/>
        <w:spacing w:after="0" w:line="284" w:lineRule="auto"/>
        <w:rPr>
          <w:sz w:val="20"/>
          <w:szCs w:val="20"/>
          <w:color w:val="auto"/>
        </w:rPr>
      </w:pPr>
      <w:r>
        <w:rPr>
          <w:rFonts w:ascii="Times New Roman" w:cs="Times New Roman" w:eastAsia="Times New Roman" w:hAnsi="Times New Roman"/>
          <w:sz w:val="17"/>
          <w:szCs w:val="17"/>
          <w:color w:val="auto"/>
        </w:rPr>
        <w:t>value measurements, including numerous assumptions with respect to future circumstances, such as industry and/or local market conditions that might directly impact each of the asset groups’ operations in the future.</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4 – Impairment Charges for further information.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Other Intangible Assets</w:t>
      </w:r>
    </w:p>
    <w:p>
      <w:pPr>
        <w:spacing w:after="0" w:line="214" w:lineRule="exact"/>
        <w:rPr>
          <w:sz w:val="20"/>
          <w:szCs w:val="20"/>
          <w:color w:val="auto"/>
        </w:rPr>
      </w:pPr>
    </w:p>
    <w:p>
      <w:pPr>
        <w:jc w:val="both"/>
        <w:ind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w:t>
      </w:r>
      <w:r>
        <w:rPr>
          <w:rFonts w:ascii="Times New Roman" w:cs="Times New Roman" w:eastAsia="Times New Roman" w:hAnsi="Times New Roman"/>
          <w:sz w:val="17"/>
          <w:szCs w:val="17"/>
          <w:color w:val="auto"/>
        </w:rPr>
        <w:t>Goodwill represents the excess of the purchase price paid for acquired businesses over the allocated fair value of the related net assets after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impairments, if applicable. All of our goodwill as of December 31, 2025 was included in our Australia reporting unit.</w:t>
      </w:r>
    </w:p>
    <w:p>
      <w:pPr>
        <w:spacing w:after="0" w:line="147"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evaluate goodwill for impairment, at the reporting unit level, annually and when an event occurs or circumstances change to suggest that the carrying amount may not be recoverable. A reporting unit is the operating segment, or a business one level below that operating segment (the “component” level) if discrete financial information is prepared and regularly reviewed by management at the component level. Each segment of our business represents a separate reporting unit.</w:t>
      </w:r>
    </w:p>
    <w:p>
      <w:pPr>
        <w:spacing w:after="0" w:line="193"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conduct our annual impairment test as of November 30 of each year. We compare each reporting unit’s carrying amount, including goodwill, to the fair value of the reporting unit. If the carrying amount of the reporting unit exceeds its fair value, goodwill is impaired.</w:t>
      </w:r>
    </w:p>
    <w:p>
      <w:pPr>
        <w:spacing w:after="0" w:line="178"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We are given the option to test for impairment of our goodwill by first performing a qualitative assessment to determine whether it is more likely than not (that is, likelihood of more than 50 percent) that the fair value of a reporting unit is less than its carrying amount, including goodwill. If it is determined that it is more likely than not that the fair value of a reporting unit is greater than its carrying amount, then performing the currently prescribed quantitative impairment test is unnecessary. In developing a qualitative assessment to meet the “more-likely-than-not” threshold, each reporting unit with goodwill is assessed separately and different relevant events and circumstances are evaluated for each unit. We have the option to bypass the qualitative assessment for any reporting unit in any period and proceed directly to performing the quantitative goodwill impairment test.</w:t>
      </w:r>
    </w:p>
    <w:p>
      <w:pPr>
        <w:spacing w:after="0" w:line="173"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When performing our annual assessment on November 30, 2025, 2024 and 2023, we performed a qualitative assessment related to goodwill at our Australia reporting unit. Qualitative factors that we considered as part of our assessment included industry and market conditions, macroeconomic conditions and the financial performance of our Australian business. We also noted that, based on the interim quantitative testing performed as of March 31, 2020, the estimated fair value of the Australia reporting unit exceeded its carrying value by more than 125%. After assessing these events and circumstances, we determined that, as of November 30, 2025, it was more likely than not that the fair value of the Australia reporting unit was greater than its carrying value.</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If a quantitative goodwill impairment test is required, we compare each reporting unit’s carrying amount, including goodwill, to the fair value of the reporting unit. Because none of our reporting units has a publicly quoted market price, we must determine the value that willing buyers and sellers would place on the reporting unit through a routine sale process (a Level 3 fair value measurement). In our analysis, we target a fair value that represents the value that would be placed on the reporting unit by market participants, and value the reporting unit based on historical and projected results throughout a cycle, not the value of the reporting unit based on trough or peak earnings. The fair value of the reporting unit is estimated using a combination of an analysis of trading multiples of comparable companies (Market Approach) and discounted projected cash flows (Income Approach). The relative weighting of each approach reflects current industry and market conditions.</w:t>
      </w:r>
    </w:p>
    <w:p>
      <w:pPr>
        <w:spacing w:after="0" w:line="175" w:lineRule="exact"/>
        <w:rPr>
          <w:sz w:val="20"/>
          <w:szCs w:val="20"/>
          <w:color w:val="auto"/>
        </w:rPr>
      </w:pPr>
    </w:p>
    <w:p>
      <w:pPr>
        <w:jc w:val="both"/>
        <w:ind w:firstLine="461"/>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 Approach </w:t>
      </w:r>
      <w:r>
        <w:rPr>
          <w:rFonts w:ascii="Times New Roman" w:cs="Times New Roman" w:eastAsia="Times New Roman" w:hAnsi="Times New Roman"/>
          <w:sz w:val="17"/>
          <w:szCs w:val="17"/>
          <w:color w:val="auto"/>
        </w:rPr>
        <w:t>- This valuation approach utilizes publicly traded comparable companies’ enterprise values, as compared to their recent and forecasted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before interest, taxes and depreciation (EBITDA) information. We use EBITDA because it is a widely used key indicator of the cash generating capacity of companies in our industry.</w:t>
      </w:r>
    </w:p>
    <w:p>
      <w:pPr>
        <w:spacing w:after="0" w:line="160" w:lineRule="exact"/>
        <w:rPr>
          <w:sz w:val="20"/>
          <w:szCs w:val="20"/>
          <w:color w:val="auto"/>
        </w:rPr>
      </w:pPr>
    </w:p>
    <w:p>
      <w:pPr>
        <w:jc w:val="both"/>
        <w:ind w:firstLine="461"/>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Income Approach </w:t>
      </w:r>
      <w:r>
        <w:rPr>
          <w:rFonts w:ascii="Times New Roman" w:cs="Times New Roman" w:eastAsia="Times New Roman" w:hAnsi="Times New Roman"/>
          <w:sz w:val="17"/>
          <w:szCs w:val="17"/>
          <w:color w:val="auto"/>
        </w:rPr>
        <w:t>- This valuation approach derives a present value of the reporting unit’s projected future annual cash flows over the next five years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terminal value assumption. We use a variety of underlying assumptions to estimate these future cash flows, including assumptions relating to future economic market conditions, rates, occupancy levels, costs and expenses and capital expenditures. These assumptions can vary by each reporting unit depending on market conditions. In addition, a terminal value is estimated, using a Gordon Growth methodology. We discount our projected cash flows using a long-term weighted average cost of capital based on our estimate of investment returns that would be required by a market participant.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2" w:name="page83"/>
    <w:bookmarkEnd w:id="82"/>
    <w:p>
      <w:pPr>
        <w:jc w:val="both"/>
        <w:ind w:firstLine="505"/>
        <w:spacing w:after="0" w:line="256" w:lineRule="auto"/>
        <w:rPr>
          <w:sz w:val="20"/>
          <w:szCs w:val="20"/>
          <w:color w:val="auto"/>
        </w:rPr>
      </w:pPr>
      <w:r>
        <w:rPr>
          <w:rFonts w:ascii="Times New Roman" w:cs="Times New Roman" w:eastAsia="Times New Roman" w:hAnsi="Times New Roman"/>
          <w:sz w:val="17"/>
          <w:szCs w:val="17"/>
          <w:color w:val="auto"/>
        </w:rPr>
        <w:t>The fair value of our reporting units is affected by future coal, oil and natural gas prices, anticipated spending by our customers, and the cost of capital. Our estimate of fair value requires us to use significant unobservable inputs, representative of Level 3 fair value measurements, including numerous assumptions with respect to future circumstances, such as industry and/or local market conditions that might directly impact each of the reporting units’ operations in the future. We selected these valuation approaches because we believe the combination of these approaches and our best judgment regarding underlying assumptions and estimates provides us with the best estimate of fair value for each of our reporting units. We believe these valuation approaches are proven valuation techniques and methodologies for our industry and widely accepted by investors. The fair value of each reporting unit would change if our assumptions under these valuation approaches, or relative weighting of the valuation approaches, were materially modified.</w:t>
      </w:r>
    </w:p>
    <w:p>
      <w:pPr>
        <w:spacing w:after="0" w:line="199" w:lineRule="exact"/>
        <w:rPr>
          <w:sz w:val="20"/>
          <w:szCs w:val="20"/>
          <w:color w:val="auto"/>
        </w:rPr>
      </w:pPr>
    </w:p>
    <w:p>
      <w:pPr>
        <w:jc w:val="both"/>
        <w:ind w:firstLine="46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Intangible Assets. </w:t>
      </w:r>
      <w:r>
        <w:rPr>
          <w:rFonts w:ascii="Times New Roman" w:cs="Times New Roman" w:eastAsia="Times New Roman" w:hAnsi="Times New Roman"/>
          <w:sz w:val="17"/>
          <w:szCs w:val="17"/>
          <w:color w:val="auto"/>
        </w:rPr>
        <w:t>We amortize the cost of other intangible assets using the straight-line method over their estimated useful lives unless such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deemed indefinite. For intangible assets that we amortize, we review the useful life of the intangible asset and evaluate each reporting period whether events and circumstances warrant a revision to the remaining useful life.</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Note 8 – Goodwill and Other Intangible Assets for further discussion.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and Other Comprehensive Income</w:t>
      </w:r>
    </w:p>
    <w:p>
      <w:pPr>
        <w:spacing w:after="0" w:line="22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Gains and losses resulting from consolidated balance sheet translation of foreign operations where a foreign currency is the functional currency are included as a separate component of accumulated other comprehensive loss within shareholders’ equity and represent substantially all of the balances within accumulated other comprehensive loss. Remeasurements of intercompany loans denominated in a different currency than the functional currency of the entity that are of a long-term investment nature are recognized as other comprehensive income within shareholders’ equity. Gains and losses resulting from consolidated balance sheet remeasurements of assets and liabilities denominated in a different currency than the functional currency, other than intercompany loans that are of a long-term investment nature, are included in the consolidated statements of operations as incurred. For the years ended December 31, 2025, 2024 and 2023, we recognized approximately $0.4 million, $0.9 million and $0.5 million in foreign currency losses,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Rate Risk</w:t>
      </w:r>
    </w:p>
    <w:p>
      <w:pPr>
        <w:spacing w:after="0" w:line="22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 significant portion of revenues, earnings and net investments in foreign affiliates are exposed to changes in foreign currency exchange rates. We seek to manage our foreign exchange risk in part through operational means, including managing expected local currency revenues in relation to local currency costs and local currency assets in relation to local currency liabilities. We have not entered into any foreign currency forward contracts.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and Cost Recognition</w:t>
      </w:r>
    </w:p>
    <w:p>
      <w:pPr>
        <w:spacing w:after="0" w:line="220"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For the majority of our operations and contracts, we generally recognize accommodation, mobile facility rental, food service and other services revenues over time as our customers simultaneously receive and consume benefits as we serve our customers because of continuous transfer of control to the customer. Revenue is recognized when control of the promised goods or services is transferred to our customers, in an amount that reflects the consideration we expect to be entitled to in exchange for those goods or services. We transfer control and recognize a sale based on a periodic (usually daily) room rate each night a customer stays in our rooms or when the services are rendered. In some contracts, rates may vary over the contract term. In these cases, revenue may be deferred and recognized on a straight-line basis over the contract term.</w:t>
      </w:r>
    </w:p>
    <w:p>
      <w:pPr>
        <w:spacing w:after="0" w:line="199"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Because of control transferring over time, the majority of our revenue is recognized based on the extent of progress towards completion of the performance obligation. At contract inception, we assess the goods and services promised in our contracts with customers and identify a performance obligation for each promise to transfer our customers a good or service (or bundle of goods or services) that is distinct. Our customers typically contract for hospitality services under take-or-pay contracts with terms that range from several months to multiple years. Our contract terms generally provide for a rental rate for a reserved room and an occupied room rate that compensates us for services provided. We typically contract our facilities to our customers on a fee per day basis where the goods and services promised include lodging and meals. To identify the performance obligations, we consider all of the goods and services promised in the context of the contract and the pattern of transfer to our customers.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Revenues exclude taxes assessed based on revenues such as sales or value added taxes.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3" w:name="page84"/>
    <w:bookmarkEnd w:id="83"/>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Cost of services includes labor, food, utility costs, cleaning supplies and other costs of operating our accommodations assets. Cost of goods sold includes all direct material and labor costs and those costs related to contract performance, such as indirect labor, supplies, tools and repairs. Selling, general and administrative costs are charged to expense as incurred.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6"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operations are subject to Canadian federal and provincial income taxes, as well as foreign income taxes. We determine the provision for income taxes using the asset and liability approach. Under this approach, deferred income taxes represent the expected future tax consequences of temporary differences between the carrying amounts and tax bases of assets and liabilities.</w:t>
      </w:r>
    </w:p>
    <w:p>
      <w:pPr>
        <w:spacing w:after="0" w:line="167"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Valuation allowances are established when necessary to reduce deferred tax assets to the amounts expected to be realized. In assessing the need for a valuation allowance, we look to the future reversal of existing taxable temporary differences, taxable income in carryback years, the feasibility of tax planning strategies and estimated future taxable income. The valuation allowance can be affected by changes to tax laws, changes to statutory tax rates and changes to future taxable income estimates and historical losses.</w:t>
      </w:r>
    </w:p>
    <w:p>
      <w:pPr>
        <w:spacing w:after="0" w:line="171"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measured based on the largest benefit that has a greater than 50% likelihood of being realized upon ultimate settlement. See Note 13 – Income Taxes for further discussion.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Receivables and Concentration of Credit Risk</w:t>
      </w:r>
    </w:p>
    <w:p>
      <w:pPr>
        <w:spacing w:after="0" w:line="220"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Based on the nature of our customer base, we do not believe that we have any significant concentrations of credit risk other than our concentration in the Australian mining industries and Canadian oil sands. We evaluate the credit-worthiness of our significant, new and existing customers’ financial condition and, generally, we do not require collateral from our customers. For the years ended December 31, 2025 and 2024, each of Fortescue Metals Group Ltd. and Suncor Energy Inc. accounted for more than 10% of our revenues. For the year ended December 31, 2023, each of Suncor Energy Inc., Imperial Oil Ltd. and Fortescue Metals Group Ltd. accounted for more than 10% of our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Retirement Obligations</w:t>
      </w:r>
    </w:p>
    <w:p>
      <w:pPr>
        <w:spacing w:after="0" w:line="220"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We have AROs that we are required to perform under law or contract once an asset is permanently taken out of service. We initially record the liability at fair value, which reflects the estimated present value of the amount of asset removal and site reclamation costs related to the retirement of our assets, for an ARO when it is incurred (typically when the asset is installed). When the liability is initially recorded, we capitalize the associated asset retirement cost by increasing the carrying amount of the related property, plant and equipment. Over time, the liability increases for the change in its present value, while the capitalized cost depreciates over the useful life of the related asset. Accretion expense is recognized over the estimated productive life of the related assets. If the fair value of the estimated ARO changes, an adjustment is recorded to both the ARO and the capitalized asset retirement cost. Revisions in estimated liabilities can result from changes in estimated inflation rates, changes in service and equipment costs and changes in the estimated timing of settling the ARO. We utilize current retirement costs to estimate the expected cash outflows for retirement obligations. We estimate the ultimate productive life of the properties and a risk-adjusted discount rate in order to determine the current present value of the obligation.</w:t>
      </w:r>
    </w:p>
    <w:p>
      <w:pPr>
        <w:spacing w:after="0" w:line="180"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relieve ARO liabilities when the related obligations are settled. Most of these obligations are not expected to be paid until many years in the future and will be funded from general company resources at the time of removal. See Note 11 – Asset Retirement Obligations for further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2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We sponsor an equity participation plan in which certain of our key employees and non-employee directors participate. We measure the cost of service-based equity awards (typically restricted share awards and deferred share awards) based on the grant-date fair value of the award. The grant-date fair value is calculated based on our share price on the grant-date. The resulting cost is recognized over the period during which an employee or non-employee director is required to provide service in exchange for the awards, usually the vesting period.</w:t>
      </w:r>
    </w:p>
    <w:p>
      <w:pPr>
        <w:spacing w:after="0" w:line="171"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We also grant performance share awards. Performance share awards granted in 2025 and 2024 will be earned in amounts between 0% and 200% of the participant’s target performance share award, based on the payout percentage associated with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4" w:name="page85"/>
    <w:bookmarkEnd w:id="84"/>
    <w:p>
      <w:pPr>
        <w:jc w:val="both"/>
        <w:spacing w:after="0" w:line="255" w:lineRule="auto"/>
        <w:rPr>
          <w:sz w:val="20"/>
          <w:szCs w:val="20"/>
          <w:color w:val="auto"/>
        </w:rPr>
      </w:pPr>
      <w:r>
        <w:rPr>
          <w:rFonts w:ascii="Times New Roman" w:cs="Times New Roman" w:eastAsia="Times New Roman" w:hAnsi="Times New Roman"/>
          <w:sz w:val="17"/>
          <w:szCs w:val="17"/>
          <w:color w:val="auto"/>
        </w:rPr>
        <w:t>Civeo’s relative total shareholder return (TSR) rank among a peer group of other companies and the payout percentage associated with Civeo's three-year growth in EBITDA over the performance period relative to a preset 2027 and 2026 EBITDA target. For awards granted in 2023, awards are earned in amounts between 0% and 200% of the participant’s target performance share award, based equally on the payout percentage associated with Civeo’s relative TSR rank among a peer group of other companies and the payout percentage associated with Civeo's cumulative operating cash flow over the performance period relative to a preset target. The grant-date fair value of the TSR portion of each performance share award is estimated using option-pricing models at the grant date. The grant-date fair value of the 2027 and 2026 EBITDA or cumulative operating cash flow portion, as applicable, of each performance share award is based on target achievement and the closing market price of our common shares on the date of grant and adjusted throughout the performance period based on our estimate of the most probable outcome of such performance conditions. The resulting costs for each portion of the award are recognized over the period during which an employee is required to provide service in exchange for the awards, usually the vesting period.</w:t>
      </w:r>
    </w:p>
    <w:p>
      <w:pPr>
        <w:spacing w:after="0" w:line="205"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Additionally, we grant phantom share units. Such awards generally vest in equal annual installments and are accounted for as a liability based on the fair value of our share price. Participants granted phantom share units are entitled to a lump sum cash payment equal to the fair market value of a common share on the vesting date. The resulting cost is recognized over the period during which an employee is required to provide service in exchange for the awards, usually the vesting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Guarantees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Substantially all of our subsidiaries are guarantors under our Credit Agreement. See Note 10 – Debt for further discussion.</w:t>
      </w:r>
    </w:p>
    <w:p>
      <w:pPr>
        <w:spacing w:after="0" w:line="21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During the ordinary course of business, we also provide standby letters of credit or other guarantee instruments to certain parties as required for certain transactions initiated by us or our subsidiaries. As of December 31, 2025, the maximum potential amount of future payments that we could be required to make under these guarantee agreements (including letters of credit) was approximately $1.8 million. We have not recorded any liability in connection with these guarantee arrangements. We do not believe, based on historical experience and information currently available, that it is likely that any amounts will be required to be paid under these guarantee arrangements.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0"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generally accepted accounting principles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Examples of a few such estimates include estimates of the amount and timing of costs to be incurred for AROs, any valuation allowance recorded on net deferred tax assets, long-lived asset and goodwill impairments and allowance for credit losses. Actual results could materially differ from those estimates.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Contingencies</w:t>
      </w:r>
    </w:p>
    <w:p>
      <w:pPr>
        <w:spacing w:after="0" w:line="22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We have contingent liabilities and future claims for which we have made estimates of the amount of the eventual cost to liquidate these liabilities or claims. We make an assessment of our exposure and record a provision in our accounts to cover an expected loss when we believe a loss is probable and the amount of the loss can be reasonably estimated. These liabilities and claims sometimes involve threatened or actual litigation where damages have been quantified. Other claims or liabilities have been estimated based on their fair value or our experience in these matters and, when appropriate, the advice of outside counsel or other outside experts. Upon the ultimate resolution of these uncertainties, our future reported financial results will be impacted by the difference between our estimates and the actual amounts paid to settle a liability. Examples of areas where we have made important estimates of future liabilities include litigation, insurance claims, contract claims and obligations.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2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Adopted Accounting Standards</w:t>
      </w:r>
    </w:p>
    <w:p>
      <w:pPr>
        <w:spacing w:after="0" w:line="246"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In December 2023, the FASB issued Accounting Standards Update (ASU) 2023-09, “Income Taxes (Topic 740): Improvements to Income Tax Disclosures”, which enhances effective tax rate reconciliation disclosure requirements and provides clarity to the disclosures of income taxes paid, income before taxes and provision for income taxes. The amendments are effective for fiscal years beginning after December 15, 2024. Early adoption is permitted for annual financial statements that have not yet been issued or made available for issuance. The amendments in this update should be applied on a prospective basis; however, retrospective application is permitted. We have adopted the income tax disclosure improvements on a prospective basis. The adoption of ASU 2023-09 has not had a material effect on the Company’s statements and disclosures.</w:t>
      </w:r>
    </w:p>
    <w:p>
      <w:pPr>
        <w:spacing w:after="0" w:line="169" w:lineRule="exact"/>
        <w:rPr>
          <w:sz w:val="20"/>
          <w:szCs w:val="20"/>
          <w:color w:val="auto"/>
        </w:rPr>
      </w:pPr>
    </w:p>
    <w:p>
      <w:pPr>
        <w:ind w:left="300" w:hanging="298"/>
        <w:spacing w:after="0"/>
        <w:tabs>
          <w:tab w:leader="none" w:pos="30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w:t>
      </w:r>
    </w:p>
    <w:p>
      <w:pPr>
        <w:spacing w:after="0" w:line="244" w:lineRule="exact"/>
        <w:rPr>
          <w:sz w:val="20"/>
          <w:szCs w:val="20"/>
          <w:color w:val="auto"/>
        </w:rPr>
      </w:pPr>
    </w:p>
    <w:p>
      <w:pPr>
        <w:ind w:right="340" w:firstLine="461"/>
        <w:spacing w:after="0" w:line="275" w:lineRule="auto"/>
        <w:rPr>
          <w:sz w:val="20"/>
          <w:szCs w:val="20"/>
          <w:color w:val="auto"/>
        </w:rPr>
      </w:pPr>
      <w:r>
        <w:rPr>
          <w:rFonts w:ascii="Times New Roman" w:cs="Times New Roman" w:eastAsia="Times New Roman" w:hAnsi="Times New Roman"/>
          <w:sz w:val="17"/>
          <w:szCs w:val="17"/>
          <w:color w:val="auto"/>
        </w:rPr>
        <w:t>The following disaggregates our revenue by our two reportable segments (Australia and Canada) into major categories for the years ended December 31, 2025, 2024 and 2023 (in thousands):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200"/>
        </w:trPr>
        <w:tc>
          <w:tcPr>
            <w:tcW w:w="55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Australia</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177,834</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248,534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230,272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158,929</w:t>
            </w:r>
          </w:p>
        </w:tc>
      </w:tr>
      <w:tr>
        <w:trPr>
          <w:trHeight w:val="21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Australia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336,763</w:t>
            </w:r>
          </w:p>
        </w:tc>
      </w:tr>
      <w:tr>
        <w:trPr>
          <w:trHeight w:val="102"/>
        </w:trPr>
        <w:tc>
          <w:tcPr>
            <w:tcW w:w="5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Accommodation and associated services revenues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150,651</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214,774</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266,926</w:t>
            </w: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Mobile facility rental and associated services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61,899</w:t>
            </w:r>
          </w:p>
        </w:tc>
      </w:tr>
      <w:tr>
        <w:trPr>
          <w:trHeight w:val="218"/>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Integrated services and other services revenues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23,970</w:t>
            </w:r>
          </w:p>
        </w:tc>
      </w:tr>
      <w:tr>
        <w:trPr>
          <w:trHeight w:val="210"/>
        </w:trPr>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Canada revenues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352,795</w:t>
            </w:r>
          </w:p>
        </w:tc>
      </w:tr>
      <w:tr>
        <w:trPr>
          <w:trHeight w:val="102"/>
        </w:trPr>
        <w:tc>
          <w:tcPr>
            <w:tcW w:w="5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8"/>
        </w:trPr>
        <w:tc>
          <w:tcPr>
            <w:tcW w:w="5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w:t>
            </w:r>
          </w:p>
        </w:tc>
      </w:tr>
      <w:tr>
        <w:trPr>
          <w:trHeight w:val="210"/>
        </w:trPr>
        <w:tc>
          <w:tcPr>
            <w:tcW w:w="55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other revenues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11,247</w:t>
            </w:r>
          </w:p>
        </w:tc>
      </w:tr>
      <w:tr>
        <w:trPr>
          <w:trHeight w:val="102"/>
        </w:trPr>
        <w:tc>
          <w:tcPr>
            <w:tcW w:w="558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5"/>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682,122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700,805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Integrated services revenues are recognized where our clients own the accommodations and food services assets and Civeo provides the hospitality services including food service, housekeeping, janitorial, laundry, office cleaning.</w:t>
      </w:r>
    </w:p>
    <w:p>
      <w:pPr>
        <w:spacing w:after="0" w:line="178"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payment terms vary by the type and location of our customer and the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67" w:lineRule="exact"/>
        <w:rPr>
          <w:sz w:val="20"/>
          <w:szCs w:val="20"/>
          <w:color w:val="auto"/>
        </w:rPr>
      </w:pPr>
    </w:p>
    <w:p>
      <w:pPr>
        <w:jc w:val="both"/>
        <w:ind w:firstLine="461"/>
        <w:spacing w:after="0" w:line="252" w:lineRule="auto"/>
        <w:rPr>
          <w:sz w:val="20"/>
          <w:szCs w:val="20"/>
          <w:color w:val="auto"/>
        </w:rPr>
      </w:pPr>
      <w:r>
        <w:rPr>
          <w:rFonts w:ascii="Times New Roman" w:cs="Times New Roman" w:eastAsia="Times New Roman" w:hAnsi="Times New Roman"/>
          <w:sz w:val="17"/>
          <w:szCs w:val="17"/>
          <w:color w:val="auto"/>
        </w:rPr>
        <w:t>As of December 31, 2025,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89"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39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8"/>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For the years ending December 31,</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9"/>
        </w:trPr>
        <w:tc>
          <w:tcPr>
            <w:tcW w:w="3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2027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2028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Thereafter</w:t>
            </w:r>
          </w:p>
        </w:tc>
        <w:tc>
          <w:tcPr>
            <w:tcW w:w="260" w:type="dxa"/>
            <w:vAlign w:val="bottom"/>
          </w:tcPr>
          <w:p>
            <w:pPr>
              <w:spacing w:after="0"/>
              <w:rPr>
                <w:sz w:val="17"/>
                <w:szCs w:val="17"/>
                <w:color w:val="auto"/>
              </w:rPr>
            </w:pPr>
          </w:p>
        </w:tc>
        <w:tc>
          <w:tcPr>
            <w:tcW w:w="1000" w:type="dxa"/>
            <w:vAlign w:val="bottom"/>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7"/>
        </w:trPr>
        <w:tc>
          <w:tcPr>
            <w:tcW w:w="3900" w:type="dxa"/>
            <w:vAlign w:val="bottom"/>
            <w:tcBorders>
              <w:top w:val="single" w:sz="8" w:color="CCEEFF"/>
            </w:tcBorders>
            <w:shd w:val="clear" w:color="auto" w:fill="CCEEFF"/>
          </w:tcPr>
          <w:p>
            <w:pPr>
              <w:ind w:left="20"/>
              <w:spacing w:after="0" w:line="157" w:lineRule="exact"/>
              <w:rPr>
                <w:sz w:val="20"/>
                <w:szCs w:val="20"/>
                <w:color w:val="auto"/>
              </w:rPr>
            </w:pPr>
            <w:r>
              <w:rPr>
                <w:rFonts w:ascii="Times New Roman" w:cs="Times New Roman" w:eastAsia="Times New Roman" w:hAnsi="Times New Roman"/>
                <w:sz w:val="17"/>
                <w:szCs w:val="17"/>
                <w:color w:val="auto"/>
              </w:rPr>
              <w:t>Revenue expected to be recognized as of December 31,</w:t>
            </w: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221"/>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626,062</w:t>
            </w:r>
          </w:p>
        </w:tc>
      </w:tr>
    </w:tbl>
    <w:p>
      <w:pPr>
        <w:spacing w:after="0" w:line="304" w:lineRule="exact"/>
        <w:rPr>
          <w:sz w:val="20"/>
          <w:szCs w:val="20"/>
          <w:color w:val="auto"/>
        </w:rPr>
      </w:pPr>
    </w:p>
    <w:p>
      <w:pPr>
        <w:jc w:val="both"/>
        <w:ind w:firstLine="461"/>
        <w:spacing w:after="0" w:line="251" w:lineRule="auto"/>
        <w:rPr>
          <w:sz w:val="20"/>
          <w:szCs w:val="20"/>
          <w:color w:val="auto"/>
        </w:rPr>
      </w:pPr>
      <w:r>
        <w:rPr>
          <w:rFonts w:ascii="Times New Roman" w:cs="Times New Roman" w:eastAsia="Times New Roman" w:hAnsi="Times New Roman"/>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0" w:lineRule="exact"/>
        <w:rPr>
          <w:sz w:val="20"/>
          <w:szCs w:val="20"/>
          <w:color w:val="auto"/>
        </w:rPr>
      </w:pPr>
    </w:p>
    <w:p>
      <w:pPr>
        <w:ind w:left="300" w:hanging="298"/>
        <w:spacing w:after="0"/>
        <w:tabs>
          <w:tab w:leader="none" w:pos="3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IMPAIRMENT CHARGES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 impairment expense was recorded during 2025.</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2024 Impairment Charges</w:t>
      </w:r>
    </w:p>
    <w:p>
      <w:pPr>
        <w:sectPr>
          <w:pgSz w:w="11900" w:h="16838" w:orient="portrait"/>
          <w:cols w:equalWidth="0" w:num="1">
            <w:col w:w="11240"/>
          </w:cols>
          <w:pgMar w:left="320" w:top="8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76200</wp:posOffset>
            </wp:positionV>
            <wp:extent cx="716470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86" w:name="page87"/>
    <w:bookmarkEnd w:id="86"/>
    <w:p>
      <w:pPr>
        <w:ind w:right="220" w:firstLine="461"/>
        <w:spacing w:after="0" w:line="272"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2024, which are included in Impairment expense in our consolidated statements of operations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9"/>
                <w:szCs w:val="19"/>
                <w:color w:val="auto"/>
              </w:rPr>
            </w:pPr>
          </w:p>
        </w:tc>
        <w:tc>
          <w:tcPr>
            <w:tcW w:w="1020" w:type="dxa"/>
            <w:vAlign w:val="bottom"/>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Quarter ended March 31, 2024</w:t>
            </w: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Long-lived assets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7,823</w:t>
            </w:r>
          </w:p>
        </w:tc>
      </w:tr>
      <w:tr>
        <w:trPr>
          <w:trHeight w:val="21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Quarter ended December 31, 2024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Long-lived assets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w:t>
            </w:r>
          </w:p>
        </w:tc>
      </w:tr>
      <w:tr>
        <w:trPr>
          <w:trHeight w:val="235"/>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firstLine="461"/>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Quarter ended December 31, 2024. </w:t>
      </w:r>
      <w:r>
        <w:rPr>
          <w:rFonts w:ascii="Times New Roman" w:cs="Times New Roman" w:eastAsia="Times New Roman" w:hAnsi="Times New Roman"/>
          <w:sz w:val="17"/>
          <w:szCs w:val="17"/>
          <w:color w:val="auto"/>
        </w:rPr>
        <w:t>During the fourth quarter of 2024, we recorded impairment expense of $3.2 million related to recent low activity levels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no associated future cash flows at two lodges in the southern region of the Athabasca oil sands in Canada. The assets were written down to zero. In addition, we recorded impairment expense of $0.5 million, related to fixed assets in a lodge located in our U.S. market. The lodge was written down to its estimated fair value of $0.3 million.</w:t>
      </w:r>
    </w:p>
    <w:p>
      <w:pPr>
        <w:spacing w:after="0" w:line="190" w:lineRule="exact"/>
        <w:rPr>
          <w:sz w:val="20"/>
          <w:szCs w:val="20"/>
          <w:color w:val="auto"/>
        </w:rPr>
      </w:pPr>
    </w:p>
    <w:p>
      <w:pPr>
        <w:jc w:val="both"/>
        <w:ind w:firstLine="461"/>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Quarter ended March 31, 2024. </w:t>
      </w:r>
      <w:r>
        <w:rPr>
          <w:rFonts w:ascii="Times New Roman" w:cs="Times New Roman" w:eastAsia="Times New Roman" w:hAnsi="Times New Roman"/>
          <w:sz w:val="17"/>
          <w:szCs w:val="17"/>
          <w:color w:val="auto"/>
        </w:rPr>
        <w:t>During the first quarter of 2024, we recorded impairment expense of $5.7 million related to various undeveloped land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related permitting costs in Australia. At March 31, 2024, we identified an impairment trigger related to certain of these properties due to the denial of development permit applications in Australia. Accordingly, the assets were written down to their estimated fair value of $0.6 million.</w:t>
      </w:r>
    </w:p>
    <w:p>
      <w:pPr>
        <w:jc w:val="both"/>
        <w:ind w:firstLine="461"/>
        <w:spacing w:after="0" w:line="263" w:lineRule="auto"/>
        <w:rPr>
          <w:sz w:val="20"/>
          <w:szCs w:val="20"/>
          <w:color w:val="auto"/>
        </w:rPr>
      </w:pPr>
      <w:r>
        <w:rPr>
          <w:rFonts w:ascii="Times New Roman" w:cs="Times New Roman" w:eastAsia="Times New Roman" w:hAnsi="Times New Roman"/>
          <w:sz w:val="17"/>
          <w:szCs w:val="17"/>
          <w:color w:val="auto"/>
        </w:rPr>
        <w:t>In addition, during the first quarter of 2024, we recorded impairment expense of $2.1 million, related to land located in the U.S. The land was written down to its estimated fair value (less costs to sell) of $3.8 million.</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2023 Impairment Charges</w:t>
      </w:r>
    </w:p>
    <w:p>
      <w:pPr>
        <w:spacing w:after="0" w:line="246" w:lineRule="exact"/>
        <w:rPr>
          <w:sz w:val="20"/>
          <w:szCs w:val="20"/>
          <w:color w:val="auto"/>
        </w:rPr>
      </w:pPr>
    </w:p>
    <w:p>
      <w:pPr>
        <w:ind w:right="220" w:firstLine="461"/>
        <w:spacing w:after="0" w:line="272" w:lineRule="auto"/>
        <w:rPr>
          <w:sz w:val="20"/>
          <w:szCs w:val="20"/>
          <w:color w:val="auto"/>
        </w:rPr>
      </w:pPr>
      <w:r>
        <w:rPr>
          <w:rFonts w:ascii="Times New Roman" w:cs="Times New Roman" w:eastAsia="Times New Roman" w:hAnsi="Times New Roman"/>
          <w:sz w:val="17"/>
          <w:szCs w:val="17"/>
          <w:color w:val="auto"/>
        </w:rPr>
        <w:t>The following summarizes pre-tax impairment charges recorded during 2023, which are included in Impairment expense in our consolidated statements of operations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U.S.</w:t>
            </w:r>
          </w:p>
        </w:tc>
        <w:tc>
          <w:tcPr>
            <w:tcW w:w="300" w:type="dxa"/>
            <w:vAlign w:val="bottom"/>
          </w:tcPr>
          <w:p>
            <w:pPr>
              <w:spacing w:after="0"/>
              <w:rPr>
                <w:sz w:val="19"/>
                <w:szCs w:val="19"/>
                <w:color w:val="auto"/>
              </w:rPr>
            </w:pPr>
          </w:p>
        </w:tc>
        <w:tc>
          <w:tcPr>
            <w:tcW w:w="104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Quarter ended December 31, 2023</w:t>
            </w: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Long-lived assets</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Quarter ended December 31, 2023</w:t>
      </w:r>
      <w:r>
        <w:rPr>
          <w:rFonts w:ascii="Times New Roman" w:cs="Times New Roman" w:eastAsia="Times New Roman" w:hAnsi="Times New Roman"/>
          <w:sz w:val="17"/>
          <w:szCs w:val="17"/>
          <w:color w:val="auto"/>
        </w:rPr>
        <w:t>. During the fourth quarter of 2023, we recorded impairment expense of $1.4 million, related to land located in our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 The land was written down to its estimated fair value (less costs to sell) of $5.9 million.</w:t>
      </w:r>
    </w:p>
    <w:p>
      <w:pPr>
        <w:spacing w:after="0" w:line="206" w:lineRule="exact"/>
        <w:rPr>
          <w:sz w:val="20"/>
          <w:szCs w:val="20"/>
          <w:color w:val="auto"/>
        </w:rPr>
      </w:pPr>
    </w:p>
    <w:p>
      <w:pPr>
        <w:ind w:left="300" w:hanging="298"/>
        <w:spacing w:after="0"/>
        <w:tabs>
          <w:tab w:leader="none" w:pos="30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18" w:lineRule="exact"/>
        <w:rPr>
          <w:sz w:val="20"/>
          <w:szCs w:val="20"/>
          <w:color w:val="auto"/>
        </w:rPr>
      </w:pPr>
    </w:p>
    <w:p>
      <w:pPr>
        <w:jc w:val="both"/>
        <w:ind w:firstLine="461"/>
        <w:spacing w:after="0" w:line="284" w:lineRule="auto"/>
        <w:rPr>
          <w:sz w:val="20"/>
          <w:szCs w:val="20"/>
          <w:color w:val="auto"/>
        </w:rPr>
      </w:pPr>
      <w:r>
        <w:rPr>
          <w:rFonts w:ascii="Times New Roman" w:cs="Times New Roman" w:eastAsia="Times New Roman" w:hAnsi="Times New Roman"/>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2"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As of December 31, 2025 and 2024, we believe the carrying value of our floating-rate debt outstanding under our revolving credit facilities approximates fair value because the terms include short-term interest rates and exclude penalties for prepayment. We estimated the fair value of our floating-rate revolving credit facilities using significant other observable inputs, representative of a Level 2 fair value measurement, including terms and credit spreads for these loans.</w:t>
      </w:r>
    </w:p>
    <w:p>
      <w:pPr>
        <w:spacing w:after="0" w:line="193"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During the second quarter of 2025, we acquired accommodation assets, land and customer contracts and recorded them at fair value. Determining the fair value of assets acquired and liabilities assumed required the exercise of judgment, which included the use of a multi-period excess earnings income approach to determine the fair value of the customer relationships. Specifically, the fair value of the customer relationships was determined by calculating the present value of expected cash flows by applying a discount rate that represents the estimated rate that market participants would require for such intangible assets. The expected cash flows and related discount rate are significant unobservable inputs categorized within Level 3 of the fair value hierarchy.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87" w:name="page88"/>
    <w:bookmarkEnd w:id="87"/>
    <w:p>
      <w:pPr>
        <w:jc w:val="both"/>
        <w:ind w:right="100" w:firstLine="461"/>
        <w:spacing w:after="0" w:line="259" w:lineRule="auto"/>
        <w:rPr>
          <w:sz w:val="20"/>
          <w:szCs w:val="20"/>
          <w:color w:val="auto"/>
        </w:rPr>
      </w:pPr>
      <w:r>
        <w:rPr>
          <w:rFonts w:ascii="Times New Roman" w:cs="Times New Roman" w:eastAsia="Times New Roman" w:hAnsi="Times New Roman"/>
          <w:sz w:val="17"/>
          <w:szCs w:val="17"/>
          <w:color w:val="auto"/>
        </w:rPr>
        <w:t>During the fourth and first quarter of 2024 and the fourth quarter of 2023, we wrote down certain long-lived assets to fair value. During the fourth quarter of 2024, we wrote long-lived assets in Canada down to zero due to no activity. During the first quarter of 2024, our estimate of the fair value of undeveloped land positions in Australia that were impaired was based on appraisals from third parties. During the fourth quarter of 2023, our estimate of fair value of a property in the U.S. was based on broker price opinions or appraisals from third parties, which referenced available market information, such as listing agreements, offers, and pending and closed sales.</w:t>
      </w:r>
    </w:p>
    <w:p>
      <w:pPr>
        <w:spacing w:after="0" w:line="200" w:lineRule="exact"/>
        <w:rPr>
          <w:sz w:val="20"/>
          <w:szCs w:val="20"/>
          <w:color w:val="auto"/>
        </w:rPr>
      </w:pPr>
    </w:p>
    <w:p>
      <w:pPr>
        <w:jc w:val="both"/>
        <w:ind w:right="100" w:firstLine="461"/>
        <w:spacing w:after="0" w:line="284" w:lineRule="auto"/>
        <w:rPr>
          <w:sz w:val="20"/>
          <w:szCs w:val="20"/>
          <w:color w:val="auto"/>
        </w:rPr>
      </w:pPr>
      <w:r>
        <w:rPr>
          <w:rFonts w:ascii="Times New Roman" w:cs="Times New Roman" w:eastAsia="Times New Roman" w:hAnsi="Times New Roman"/>
          <w:sz w:val="17"/>
          <w:szCs w:val="17"/>
          <w:color w:val="auto"/>
        </w:rPr>
        <w:t>See Note 2 – Summary of Significant Accounting Policies – Impairment of Long-Lived Assets and Note 2 – Summary of Significant Accounting Policies – Goodwill and Other Intangible Assets for further discussion of the significant judgments and assumptions used in calculating their fair value.</w:t>
      </w:r>
    </w:p>
    <w:p>
      <w:pPr>
        <w:spacing w:after="0" w:line="174" w:lineRule="exact"/>
        <w:rPr>
          <w:sz w:val="20"/>
          <w:szCs w:val="20"/>
          <w:color w:val="auto"/>
        </w:rPr>
      </w:pPr>
    </w:p>
    <w:p>
      <w:pPr>
        <w:ind w:left="300" w:hanging="298"/>
        <w:spacing w:after="0"/>
        <w:tabs>
          <w:tab w:leader="none" w:pos="30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EARNINGS PER SHARE</w:t>
      </w:r>
    </w:p>
    <w:p>
      <w:pPr>
        <w:spacing w:after="0" w:line="244" w:lineRule="exact"/>
        <w:rPr>
          <w:sz w:val="20"/>
          <w:szCs w:val="20"/>
          <w:color w:val="auto"/>
        </w:rPr>
      </w:pPr>
    </w:p>
    <w:p>
      <w:pPr>
        <w:ind w:right="100" w:firstLine="461"/>
        <w:spacing w:after="0" w:line="262" w:lineRule="auto"/>
        <w:rPr>
          <w:sz w:val="20"/>
          <w:szCs w:val="20"/>
          <w:color w:val="auto"/>
        </w:rPr>
      </w:pPr>
      <w:r>
        <w:rPr>
          <w:rFonts w:ascii="Times New Roman" w:cs="Times New Roman" w:eastAsia="Times New Roman" w:hAnsi="Times New Roman"/>
          <w:sz w:val="17"/>
          <w:szCs w:val="17"/>
          <w:color w:val="auto"/>
        </w:rPr>
        <w:t>We calculate our basic earnings per share by dividing net income (loss) attributable to Civeo Corporation by the weighted average number of common shares outstanding. For diluted earnings per share, the basic shares outstanding are adjusted by adding all potentially dilutive securities.</w:t>
      </w:r>
    </w:p>
    <w:p>
      <w:pPr>
        <w:ind w:right="100" w:firstLine="461"/>
        <w:spacing w:after="0" w:line="262" w:lineRule="auto"/>
        <w:rPr>
          <w:sz w:val="20"/>
          <w:szCs w:val="20"/>
          <w:color w:val="auto"/>
        </w:rPr>
      </w:pPr>
      <w:r>
        <w:rPr>
          <w:rFonts w:ascii="Times New Roman" w:cs="Times New Roman" w:eastAsia="Times New Roman" w:hAnsi="Times New Roman"/>
          <w:sz w:val="17"/>
          <w:szCs w:val="17"/>
          <w:color w:val="auto"/>
        </w:rPr>
        <w:t>The calculation of basic and diluted earnings per share attributable to Civeo common shareholders is presented below for the years ended December 31, 2025, 2024 and 2023 (in thousands, except per share amounts):</w:t>
      </w:r>
    </w:p>
    <w:tbl>
      <w:tblPr>
        <w:tblLayout w:type="fixed"/>
        <w:tblInd w:w="460" w:type="dxa"/>
        <w:tblCellMar>
          <w:top w:w="0" w:type="dxa"/>
          <w:left w:w="0" w:type="dxa"/>
          <w:bottom w:w="0" w:type="dxa"/>
          <w:right w:w="0" w:type="dxa"/>
        </w:tblCellMar>
      </w:tblPr>
      <w:tr>
        <w:trPr>
          <w:trHeight w:val="225"/>
        </w:trPr>
        <w:tc>
          <w:tcPr>
            <w:tcW w:w="6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net income (loss) attributable to Civeo Corporation</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(20,071)</w:t>
            </w:r>
          </w:p>
        </w:tc>
        <w:tc>
          <w:tcPr>
            <w:tcW w:w="1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(17,067)</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5"/>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(loss) attributable to Civeo Corporation</w:t>
            </w: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(17,067)</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6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Dilutive shares - share-based awards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14,287</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8"/>
        </w:trPr>
        <w:tc>
          <w:tcPr>
            <w:tcW w:w="67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18"/>
        </w:trPr>
        <w:tc>
          <w:tcPr>
            <w:tcW w:w="6760" w:type="dxa"/>
            <w:vAlign w:val="bottom"/>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Basic net income (loss) per share attributable to Civeo Corporation common shareholders </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18"/>
                <w:szCs w:val="18"/>
                <w:color w:val="auto"/>
              </w:rPr>
            </w:pPr>
          </w:p>
        </w:tc>
      </w:tr>
      <w:tr>
        <w:trPr>
          <w:trHeight w:val="102"/>
        </w:trPr>
        <w:tc>
          <w:tcPr>
            <w:tcW w:w="67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20" w:type="dxa"/>
            <w:vAlign w:val="bottom"/>
            <w:gridSpan w:val="2"/>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r>
      <w:tr>
        <w:trPr>
          <w:trHeight w:val="291"/>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Diluted net income (loss) per share attributable to Civeo Corporation common shareholders </w:t>
            </w:r>
            <w:r>
              <w:rPr>
                <w:rFonts w:ascii="Times New Roman" w:cs="Times New Roman" w:eastAsia="Times New Roman" w:hAnsi="Times New Roman"/>
                <w:sz w:val="22"/>
                <w:szCs w:val="22"/>
                <w:color w:val="auto"/>
                <w:vertAlign w:val="superscript"/>
              </w:rPr>
              <w:t>(1)</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4"/>
                <w:szCs w:val="24"/>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42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24"/>
                <w:szCs w:val="24"/>
                <w:color w:val="auto"/>
              </w:rPr>
            </w:pPr>
          </w:p>
        </w:tc>
      </w:tr>
    </w:tbl>
    <w:p>
      <w:pPr>
        <w:spacing w:after="0" w:line="19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7"/>
          <w:szCs w:val="17"/>
          <w:color w:val="auto"/>
        </w:rPr>
        <w:t>Computations may reflect rounding adjustments.</w:t>
      </w:r>
    </w:p>
    <w:p>
      <w:pPr>
        <w:spacing w:after="0" w:line="218" w:lineRule="exact"/>
        <w:rPr>
          <w:sz w:val="20"/>
          <w:szCs w:val="20"/>
          <w:color w:val="auto"/>
        </w:rPr>
      </w:pPr>
    </w:p>
    <w:p>
      <w:pPr>
        <w:ind w:right="100" w:firstLine="461"/>
        <w:spacing w:after="0" w:line="284" w:lineRule="auto"/>
        <w:rPr>
          <w:sz w:val="20"/>
          <w:szCs w:val="20"/>
          <w:color w:val="auto"/>
        </w:rPr>
      </w:pPr>
      <w:r>
        <w:rPr>
          <w:rFonts w:ascii="Times New Roman" w:cs="Times New Roman" w:eastAsia="Times New Roman" w:hAnsi="Times New Roman"/>
          <w:sz w:val="17"/>
          <w:szCs w:val="17"/>
          <w:color w:val="auto"/>
        </w:rPr>
        <w:t>Share-based awards that have been excluded from the calculation of weighted-average common shares outstanding because the effect is anti-dilutive totaled 0.1 million shares, 0.1 million shares and fewer than 0.1 million shares, respectively, for the years ended December 31, 2025, 2024 and 2023.</w:t>
      </w:r>
    </w:p>
    <w:p>
      <w:pPr>
        <w:spacing w:after="0" w:line="174" w:lineRule="exact"/>
        <w:rPr>
          <w:sz w:val="20"/>
          <w:szCs w:val="20"/>
          <w:color w:val="auto"/>
        </w:rPr>
      </w:pPr>
    </w:p>
    <w:p>
      <w:pPr>
        <w:ind w:left="300" w:hanging="298"/>
        <w:spacing w:after="0"/>
        <w:tabs>
          <w:tab w:leader="none" w:pos="30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DETAILS OF SELECTED BALANCE SHEET ACCOUNTS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Additional information regarding selected balance sheet accounts at December 31, 2025 and 2024 is presented below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46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w:t>
            </w:r>
          </w:p>
        </w:tc>
        <w:tc>
          <w:tcPr>
            <w:tcW w:w="5120" w:type="dxa"/>
            <w:vAlign w:val="bottom"/>
            <w:gridSpan w:val="2"/>
          </w:tcPr>
          <w:p>
            <w:pPr>
              <w:ind w:left="46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70,646</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Unbilled revenue</w:t>
            </w:r>
          </w:p>
        </w:tc>
        <w:tc>
          <w:tcPr>
            <w:tcW w:w="4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6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accounts receivable</w:t>
            </w:r>
          </w:p>
        </w:tc>
        <w:tc>
          <w:tcPr>
            <w:tcW w:w="4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90,706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46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46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90,470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955"/>
              <w:spacing w:after="0"/>
              <w:rPr>
                <w:sz w:val="20"/>
                <w:szCs w:val="20"/>
                <w:color w:val="auto"/>
              </w:rPr>
            </w:pPr>
            <w:r>
              <w:rPr>
                <w:rFonts w:ascii="Times New Roman" w:cs="Times New Roman" w:eastAsia="Times New Roman" w:hAnsi="Times New Roman"/>
                <w:sz w:val="17"/>
                <w:szCs w:val="17"/>
                <w:color w:val="auto"/>
              </w:rPr>
              <w:t>85</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9"/>
        </w:trPr>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88" w:name="page89"/>
    <w:bookmarkEnd w:id="88"/>
    <w:tbl>
      <w:tblPr>
        <w:tblLayout w:type="fixed"/>
        <w:tblInd w:w="16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7"/>
              </w:rPr>
              <w:t>December 31, 2024</w:t>
            </w:r>
          </w:p>
        </w:tc>
      </w:tr>
      <w:tr>
        <w:trPr>
          <w:trHeight w:val="19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5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1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Finished goods, including purchased food, housekeeping and retail inventory</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4,486</w:t>
            </w:r>
          </w:p>
        </w:tc>
        <w:tc>
          <w:tcPr>
            <w:tcW w:w="1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6,134</w:t>
            </w: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5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r>
      <w:tr>
        <w:trPr>
          <w:trHeight w:val="210"/>
        </w:trPr>
        <w:tc>
          <w:tcPr>
            <w:tcW w:w="8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 inventories</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7,537</w:t>
            </w:r>
          </w:p>
        </w:tc>
      </w:tr>
      <w:tr>
        <w:trPr>
          <w:trHeight w:val="20"/>
        </w:trPr>
        <w:tc>
          <w:tcPr>
            <w:tcW w:w="8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Estimated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6760" w:type="dxa"/>
            <w:vAlign w:val="bottom"/>
          </w:tcPr>
          <w:p>
            <w:pPr>
              <w:spacing w:after="0"/>
              <w:rPr>
                <w:sz w:val="14"/>
                <w:szCs w:val="14"/>
                <w:color w:val="auto"/>
              </w:rPr>
            </w:pPr>
          </w:p>
        </w:tc>
        <w:tc>
          <w:tcPr>
            <w:tcW w:w="1520" w:type="dxa"/>
            <w:vAlign w:val="bottom"/>
            <w:gridSpan w:val="2"/>
          </w:tcPr>
          <w:p>
            <w:pPr>
              <w:ind w:left="280"/>
              <w:spacing w:after="0" w:line="167"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1520" w:type="dxa"/>
            <w:vAlign w:val="bottom"/>
            <w:gridSpan w:val="3"/>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plant and equipment, net:</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29,476</w:t>
            </w: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24,052</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Accommodations assets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1,410,965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1,272,515</w:t>
            </w:r>
          </w:p>
        </w:tc>
        <w:tc>
          <w:tcPr>
            <w:tcW w:w="0" w:type="dxa"/>
            <w:vAlign w:val="bottom"/>
          </w:tcPr>
          <w:p>
            <w:pPr>
              <w:spacing w:after="0"/>
              <w:rPr>
                <w:sz w:val="1"/>
                <w:szCs w:val="1"/>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and leasehold improvements</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12,386</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13,624</w:t>
            </w:r>
          </w:p>
        </w:tc>
        <w:tc>
          <w:tcPr>
            <w:tcW w:w="0" w:type="dxa"/>
            <w:vAlign w:val="bottom"/>
          </w:tcPr>
          <w:p>
            <w:pPr>
              <w:spacing w:after="0"/>
              <w:rPr>
                <w:sz w:val="1"/>
                <w:szCs w:val="1"/>
                <w:color w:val="auto"/>
              </w:rPr>
            </w:pP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Office furniture and equipment</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65,830</w:t>
            </w:r>
          </w:p>
        </w:tc>
        <w:tc>
          <w:tcPr>
            <w:tcW w:w="0" w:type="dxa"/>
            <w:vAlign w:val="bottom"/>
          </w:tcPr>
          <w:p>
            <w:pPr>
              <w:spacing w:after="0"/>
              <w:rPr>
                <w:sz w:val="1"/>
                <w:szCs w:val="1"/>
                <w:color w:val="auto"/>
              </w:rPr>
            </w:pPr>
          </w:p>
        </w:tc>
      </w:tr>
      <w:tr>
        <w:trPr>
          <w:trHeight w:val="218"/>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8,775</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6,835</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property, plant and equipment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1,548,931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1,404,017</w:t>
            </w:r>
          </w:p>
        </w:tc>
        <w:tc>
          <w:tcPr>
            <w:tcW w:w="0" w:type="dxa"/>
            <w:vAlign w:val="bottom"/>
          </w:tcPr>
          <w:p>
            <w:pPr>
              <w:spacing w:after="0"/>
              <w:rPr>
                <w:sz w:val="1"/>
                <w:szCs w:val="1"/>
                <w:color w:val="auto"/>
              </w:rPr>
            </w:pPr>
          </w:p>
        </w:tc>
      </w:tr>
      <w:tr>
        <w:trPr>
          <w:trHeight w:val="21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(1,304,414)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(1,199,120)</w:t>
            </w:r>
          </w:p>
        </w:tc>
        <w:tc>
          <w:tcPr>
            <w:tcW w:w="0" w:type="dxa"/>
            <w:vAlign w:val="bottom"/>
          </w:tcPr>
          <w:p>
            <w:pPr>
              <w:spacing w:after="0"/>
              <w:rPr>
                <w:sz w:val="1"/>
                <w:szCs w:val="1"/>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plant and equipment, net</w:t>
            </w: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204,897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8280" w:type="dxa"/>
            <w:vAlign w:val="bottom"/>
          </w:tcPr>
          <w:p>
            <w:pPr>
              <w:spacing w:after="0"/>
              <w:rPr>
                <w:sz w:val="19"/>
                <w:szCs w:val="19"/>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198"/>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Accrued liabilities:</w:t>
            </w:r>
          </w:p>
        </w:tc>
        <w:tc>
          <w:tcPr>
            <w:tcW w:w="4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18"/>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24,682</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taxes, other than income taxes</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5"/>
        </w:trPr>
        <w:tc>
          <w:tcPr>
            <w:tcW w:w="8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198"/>
        </w:trPr>
        <w:tc>
          <w:tcPr>
            <w:tcW w:w="8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assets:</w:t>
            </w:r>
          </w:p>
        </w:tc>
        <w:tc>
          <w:tcPr>
            <w:tcW w:w="5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8"/>
        </w:trPr>
        <w:tc>
          <w:tcPr>
            <w:tcW w:w="8060" w:type="dxa"/>
            <w:vAlign w:val="bottom"/>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Current contract assets </w:t>
            </w:r>
            <w:r>
              <w:rPr>
                <w:rFonts w:ascii="Times New Roman" w:cs="Times New Roman" w:eastAsia="Times New Roman" w:hAnsi="Times New Roman"/>
                <w:sz w:val="22"/>
                <w:szCs w:val="22"/>
                <w:color w:val="auto"/>
                <w:vertAlign w:val="superscript"/>
              </w:rPr>
              <w:t>(1)</w:t>
            </w: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80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Noncurrent contract assets </w:t>
            </w:r>
            <w:r>
              <w:rPr>
                <w:rFonts w:ascii="Times New Roman" w:cs="Times New Roman" w:eastAsia="Times New Roman" w:hAnsi="Times New Roman"/>
                <w:sz w:val="22"/>
                <w:szCs w:val="22"/>
                <w:color w:val="auto"/>
                <w:vertAlign w:val="superscript"/>
              </w:rPr>
              <w:t>(1)</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contract assets</w:t>
            </w: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8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19"/>
        </w:trPr>
        <w:tc>
          <w:tcPr>
            <w:tcW w:w="80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218"/>
        </w:trPr>
        <w:tc>
          <w:tcPr>
            <w:tcW w:w="8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Contract liabilities (Deferred revenue):</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80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Current contract liabilities </w:t>
            </w:r>
            <w:r>
              <w:rPr>
                <w:rFonts w:ascii="Times New Roman" w:cs="Times New Roman" w:eastAsia="Times New Roman" w:hAnsi="Times New Roman"/>
                <w:sz w:val="22"/>
                <w:szCs w:val="22"/>
                <w:color w:val="auto"/>
                <w:vertAlign w:val="superscript"/>
              </w:rPr>
              <w:t>(2)</w:t>
            </w: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w:t>
            </w:r>
          </w:p>
        </w:tc>
      </w:tr>
      <w:tr>
        <w:trPr>
          <w:trHeight w:val="218"/>
        </w:trPr>
        <w:tc>
          <w:tcPr>
            <w:tcW w:w="8060" w:type="dxa"/>
            <w:vAlign w:val="bottom"/>
            <w:tcBorders>
              <w:bottom w:val="single" w:sz="8" w:color="CCEEFF"/>
            </w:tcBorders>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Noncurrent contract liabilities </w:t>
            </w:r>
            <w:r>
              <w:rPr>
                <w:rFonts w:ascii="Times New Roman" w:cs="Times New Roman" w:eastAsia="Times New Roman" w:hAnsi="Times New Roman"/>
                <w:sz w:val="22"/>
                <w:szCs w:val="22"/>
                <w:color w:val="auto"/>
                <w:vertAlign w:val="superscript"/>
              </w:rPr>
              <w:t>(2)</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2,908</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5,098</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contract liabilities (Deferred revenue)</w:t>
            </w: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20" w:right="100" w:hanging="310"/>
        <w:spacing w:after="0"/>
        <w:tabs>
          <w:tab w:leader="none" w:pos="608"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assets and Noncurrent contract assets are included in "Other current assets" and "Other noncurrent assets," respectively, in our consolidated balance sheets.</w:t>
      </w:r>
    </w:p>
    <w:p>
      <w:pPr>
        <w:spacing w:after="0" w:line="1" w:lineRule="exact"/>
        <w:rPr>
          <w:rFonts w:ascii="Times New Roman" w:cs="Times New Roman" w:eastAsia="Times New Roman" w:hAnsi="Times New Roman"/>
          <w:sz w:val="20"/>
          <w:szCs w:val="20"/>
          <w:color w:val="auto"/>
          <w:vertAlign w:val="superscript"/>
        </w:rPr>
      </w:pPr>
    </w:p>
    <w:p>
      <w:pPr>
        <w:ind w:left="620" w:right="100" w:hanging="310"/>
        <w:spacing w:after="0" w:line="231" w:lineRule="auto"/>
        <w:tabs>
          <w:tab w:leader="none" w:pos="608"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color w:val="auto"/>
        </w:rPr>
        <w:t>Current contract liabilities and Noncurrent contract liabilities are included in "Deferred revenue" and "Other noncurrent liabilities," respectively, in our consolidated balance sheets.</w:t>
      </w:r>
    </w:p>
    <w:p>
      <w:pPr>
        <w:spacing w:after="0" w:line="214" w:lineRule="exact"/>
        <w:rPr>
          <w:sz w:val="20"/>
          <w:szCs w:val="20"/>
          <w:color w:val="auto"/>
        </w:rPr>
      </w:pPr>
    </w:p>
    <w:p>
      <w:pPr>
        <w:jc w:val="both"/>
        <w:ind w:right="100" w:firstLine="461"/>
        <w:spacing w:after="0" w:line="262" w:lineRule="auto"/>
        <w:rPr>
          <w:sz w:val="20"/>
          <w:szCs w:val="20"/>
          <w:color w:val="auto"/>
        </w:rPr>
      </w:pPr>
      <w:r>
        <w:rPr>
          <w:rFonts w:ascii="Times New Roman" w:cs="Times New Roman" w:eastAsia="Times New Roman" w:hAnsi="Times New Roman"/>
          <w:sz w:val="17"/>
          <w:szCs w:val="17"/>
          <w:color w:val="auto"/>
        </w:rPr>
        <w:t>Contract assets consists of upfront incentives offered as consideration for entering into multi-year contracts. These incentives are refundable to us if the customer cancels the contract prior to the end of the contracted terms. The contract assets are amortized as a reduction of revenue over the contract term as the related services are provided. The increase in contract assets from December 31, 2024 to December 31, 2025 was due to incentives offered to a customer in Australia during the first quarter of 2025 to enter into a six-year integrated services contract.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87" w:right="239" w:bottom="1440" w:gutter="0" w:footer="0" w:header="0"/>
        </w:sectPr>
      </w:pPr>
    </w:p>
    <w:bookmarkStart w:id="89" w:name="page90"/>
    <w:bookmarkEnd w:id="89"/>
    <w:p>
      <w:pPr>
        <w:jc w:val="both"/>
        <w:ind w:right="100" w:firstLine="461"/>
        <w:spacing w:after="0" w:line="267" w:lineRule="auto"/>
        <w:rPr>
          <w:sz w:val="20"/>
          <w:szCs w:val="20"/>
          <w:color w:val="auto"/>
        </w:rPr>
      </w:pPr>
      <w:r>
        <w:rPr>
          <w:rFonts w:ascii="Times New Roman" w:cs="Times New Roman" w:eastAsia="Times New Roman" w:hAnsi="Times New Roman"/>
          <w:sz w:val="17"/>
          <w:szCs w:val="17"/>
          <w:color w:val="auto"/>
        </w:rPr>
        <w:t>Deferred revenue typically consists of upfront payments received before we satisfy the associated performance obligation. The decrease in deferred revenue from December 31, 2024 to December 31, 2025 was due to revenue recognized over the contracted terms related to advance payments received from a customer for village enhancements in Australia.</w:t>
      </w:r>
    </w:p>
    <w:p>
      <w:pPr>
        <w:spacing w:after="0" w:line="189" w:lineRule="exact"/>
        <w:rPr>
          <w:sz w:val="20"/>
          <w:szCs w:val="20"/>
          <w:color w:val="auto"/>
        </w:rPr>
      </w:pPr>
    </w:p>
    <w:p>
      <w:pPr>
        <w:ind w:left="300" w:hanging="298"/>
        <w:spacing w:after="0"/>
        <w:tabs>
          <w:tab w:leader="none" w:pos="3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GOODWILL AND OTHER INTANGIBLE ASSETS</w:t>
      </w:r>
    </w:p>
    <w:p>
      <w:pPr>
        <w:spacing w:after="0" w:line="244" w:lineRule="exact"/>
        <w:rPr>
          <w:sz w:val="20"/>
          <w:szCs w:val="20"/>
          <w:color w:val="auto"/>
        </w:rPr>
      </w:pPr>
    </w:p>
    <w:p>
      <w:pPr>
        <w:ind w:right="460" w:firstLine="461"/>
        <w:spacing w:after="0" w:line="284" w:lineRule="auto"/>
        <w:rPr>
          <w:sz w:val="20"/>
          <w:szCs w:val="20"/>
          <w:color w:val="auto"/>
        </w:rPr>
      </w:pPr>
      <w:r>
        <w:rPr>
          <w:rFonts w:ascii="Times New Roman" w:cs="Times New Roman" w:eastAsia="Times New Roman" w:hAnsi="Times New Roman"/>
          <w:sz w:val="17"/>
          <w:szCs w:val="17"/>
          <w:color w:val="auto"/>
        </w:rPr>
        <w:t>Changes in the carrying amount of goodwill (all of which is in our Australia segment) from December 31, 2023 to December 31, 2025 are as follows (in thousands):</w:t>
      </w:r>
    </w:p>
    <w:p>
      <w:pPr>
        <w:spacing w:after="0" w:line="71" w:lineRule="exact"/>
        <w:rPr>
          <w:sz w:val="20"/>
          <w:szCs w:val="20"/>
          <w:color w:val="auto"/>
        </w:rPr>
      </w:pPr>
    </w:p>
    <w:tbl>
      <w:tblPr>
        <w:tblLayout w:type="fixed"/>
        <w:tblInd w:w="2120" w:type="dxa"/>
        <w:tblCellMar>
          <w:top w:w="0" w:type="dxa"/>
          <w:left w:w="0" w:type="dxa"/>
          <w:bottom w:w="0" w:type="dxa"/>
          <w:right w:w="0" w:type="dxa"/>
        </w:tblCellMar>
      </w:tblPr>
      <w:tr>
        <w:trPr>
          <w:trHeight w:val="225"/>
        </w:trPr>
        <w:tc>
          <w:tcPr>
            <w:tcW w:w="57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as of December 31, 2023</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7,690</w:t>
            </w:r>
          </w:p>
        </w:tc>
      </w:tr>
      <w:tr>
        <w:trPr>
          <w:trHeight w:val="218"/>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as of December 31, 2024</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7,001</w:t>
            </w:r>
          </w:p>
        </w:tc>
      </w:tr>
      <w:tr>
        <w:trPr>
          <w:trHeight w:val="218"/>
        </w:trPr>
        <w:tc>
          <w:tcPr>
            <w:tcW w:w="5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w:t>
            </w:r>
          </w:p>
        </w:tc>
      </w:tr>
      <w:tr>
        <w:trPr>
          <w:trHeight w:val="235"/>
        </w:trPr>
        <w:tc>
          <w:tcPr>
            <w:tcW w:w="5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as of December 31, 2025</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7,541</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presents the total amount of other intangible assets and the related accumulated amortization for major intangible asset classes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and 2024 (in thousands):</w:t>
      </w: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5"/>
          </w:tcPr>
          <w:p>
            <w:pPr>
              <w:ind w:left="7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8"/>
                <w:szCs w:val="18"/>
                <w:color w:val="auto"/>
              </w:rPr>
            </w:pPr>
          </w:p>
        </w:tc>
        <w:tc>
          <w:tcPr>
            <w:tcW w:w="2360" w:type="dxa"/>
            <w:vAlign w:val="bottom"/>
            <w:gridSpan w:val="4"/>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5"/>
        </w:trPr>
        <w:tc>
          <w:tcPr>
            <w:tcW w:w="5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7"/>
                <w:szCs w:val="17"/>
                <w:b w:val="1"/>
                <w:bCs w:val="1"/>
                <w:color w:val="auto"/>
              </w:rPr>
              <w:t>Gross</w:t>
            </w:r>
          </w:p>
        </w:tc>
        <w:tc>
          <w:tcPr>
            <w:tcW w:w="160" w:type="dxa"/>
            <w:vAlign w:val="bottom"/>
          </w:tcPr>
          <w:p>
            <w:pPr>
              <w:spacing w:after="0"/>
              <w:rPr>
                <w:sz w:val="14"/>
                <w:szCs w:val="14"/>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40" w:type="dxa"/>
            <w:vAlign w:val="bottom"/>
          </w:tcPr>
          <w:p>
            <w:pPr>
              <w:spacing w:after="0"/>
              <w:rPr>
                <w:sz w:val="14"/>
                <w:szCs w:val="14"/>
                <w:color w:val="auto"/>
              </w:rPr>
            </w:pPr>
          </w:p>
        </w:tc>
        <w:tc>
          <w:tcPr>
            <w:tcW w:w="128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Accumulate</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tcPr>
          <w:p>
            <w:pPr>
              <w:jc w:val="center"/>
              <w:ind w:right="360"/>
              <w:spacing w:after="0" w:line="174"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4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Amortizatio</w:t>
            </w:r>
          </w:p>
        </w:tc>
        <w:tc>
          <w:tcPr>
            <w:tcW w:w="0" w:type="dxa"/>
            <w:vAlign w:val="bottom"/>
          </w:tcPr>
          <w:p>
            <w:pPr>
              <w:spacing w:after="0"/>
              <w:rPr>
                <w:sz w:val="1"/>
                <w:szCs w:val="1"/>
                <w:color w:val="auto"/>
              </w:rPr>
            </w:pPr>
          </w:p>
        </w:tc>
      </w:tr>
      <w:tr>
        <w:trPr>
          <w:trHeight w:val="19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Amortizable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Contracts / agreements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35"/>
        </w:trPr>
        <w:tc>
          <w:tcPr>
            <w:tcW w:w="52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145,485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131,761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Indefinite-Lived Intangible Assets Not Subject to Amortization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Licenses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indefinite-lived intangible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Total intangible assets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145,512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131,786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right="100" w:firstLine="461"/>
        <w:spacing w:after="0" w:line="267" w:lineRule="auto"/>
        <w:rPr>
          <w:sz w:val="20"/>
          <w:szCs w:val="20"/>
          <w:color w:val="auto"/>
        </w:rPr>
      </w:pPr>
      <w:r>
        <w:rPr>
          <w:rFonts w:ascii="Times New Roman" w:cs="Times New Roman" w:eastAsia="Times New Roman" w:hAnsi="Times New Roman"/>
          <w:sz w:val="17"/>
          <w:szCs w:val="17"/>
          <w:color w:val="auto"/>
        </w:rPr>
        <w:t>The weighted average remaining amortization period for all intangible assets, other than indefinite-lived intangibles, was 12.4 years as of December 31, 2025 and 13.1 years as of December 31, 2024. Amortization expense was $6.5 million, $6.1 million and $5.8 million in the years ended December 31, 2025, 2024 and 2023, respectively.</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December 31, 2025, the estimated remaining amortization of our amortizable intangible assets was as follows (in thousands):</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Year Ending</w:t>
            </w:r>
          </w:p>
        </w:tc>
      </w:tr>
      <w:tr>
        <w:trPr>
          <w:trHeight w:val="228"/>
        </w:trPr>
        <w:tc>
          <w:tcPr>
            <w:tcW w:w="9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ind w:right="415"/>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w:t>
            </w:r>
          </w:p>
        </w:tc>
      </w:t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w:t>
            </w:r>
          </w:p>
        </w:tc>
      </w:tr>
      <w:tr>
        <w:trPr>
          <w:trHeight w:val="218"/>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w:t>
            </w:r>
          </w:p>
        </w:tc>
      </w:tr>
      <w:tr>
        <w:trPr>
          <w:trHeight w:val="218"/>
        </w:trPr>
        <w:tc>
          <w:tcPr>
            <w:tcW w:w="9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5,788</w:t>
            </w:r>
          </w:p>
        </w:tc>
      </w:tr>
      <w:tr>
        <w:trPr>
          <w:trHeight w:val="218"/>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5,711</w:t>
            </w:r>
          </w:p>
        </w:tc>
      </w:tr>
      <w:tr>
        <w:trPr>
          <w:trHeight w:val="218"/>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41,520</w:t>
            </w:r>
          </w:p>
        </w:tc>
      </w:tr>
      <w:tr>
        <w:trPr>
          <w:trHeight w:val="235"/>
        </w:trPr>
        <w:tc>
          <w:tcPr>
            <w:tcW w:w="92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70,383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90" w:name="page91"/>
    <w:bookmarkEnd w:id="90"/>
    <w:p>
      <w:pPr>
        <w:ind w:left="300" w:hanging="298"/>
        <w:spacing w:after="0"/>
        <w:tabs>
          <w:tab w:leader="none" w:pos="30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44" w:lineRule="exact"/>
        <w:rPr>
          <w:sz w:val="20"/>
          <w:szCs w:val="20"/>
          <w:color w:val="auto"/>
        </w:rPr>
      </w:pPr>
    </w:p>
    <w:p>
      <w:pPr>
        <w:jc w:val="both"/>
        <w:ind w:right="100" w:firstLine="461"/>
        <w:spacing w:after="0" w:line="265" w:lineRule="auto"/>
        <w:rPr>
          <w:sz w:val="20"/>
          <w:szCs w:val="20"/>
          <w:color w:val="auto"/>
        </w:rPr>
      </w:pPr>
      <w:r>
        <w:rPr>
          <w:rFonts w:ascii="Times New Roman" w:cs="Times New Roman" w:eastAsia="Times New Roman" w:hAnsi="Times New Roman"/>
          <w:sz w:val="17"/>
          <w:szCs w:val="17"/>
          <w:color w:val="auto"/>
        </w:rPr>
        <w:t>We have operating and finance leases covering certain land locations and various office facilities and equipment in our two reportable business segments. Our leases have remaining lease terms of one year to ten years, some of which include options to extend the leases for up to 10 years, and some of which include options to terminate the leases within 90 days. In addition, we do not recognize right-of-use assets or lease liabilities for leases with terms shorter than twelve months.</w:t>
      </w:r>
    </w:p>
    <w:p>
      <w:pPr>
        <w:spacing w:after="0" w:line="200" w:lineRule="exact"/>
        <w:rPr>
          <w:sz w:val="20"/>
          <w:szCs w:val="20"/>
          <w:color w:val="auto"/>
        </w:rPr>
      </w:pPr>
    </w:p>
    <w:p>
      <w:pPr>
        <w:spacing w:after="0" w:line="203" w:lineRule="exact"/>
        <w:rPr>
          <w:sz w:val="20"/>
          <w:szCs w:val="20"/>
          <w:color w:val="auto"/>
        </w:rPr>
      </w:pPr>
    </w:p>
    <w:p>
      <w:pPr>
        <w:jc w:val="both"/>
        <w:ind w:right="100" w:firstLine="461"/>
        <w:spacing w:after="0" w:line="258" w:lineRule="auto"/>
        <w:rPr>
          <w:sz w:val="20"/>
          <w:szCs w:val="20"/>
          <w:color w:val="auto"/>
        </w:rPr>
      </w:pPr>
      <w:r>
        <w:rPr>
          <w:rFonts w:ascii="Times New Roman" w:cs="Times New Roman" w:eastAsia="Times New Roman" w:hAnsi="Times New Roman"/>
          <w:sz w:val="17"/>
          <w:szCs w:val="17"/>
          <w:color w:val="auto"/>
        </w:rPr>
        <w:t>The components of lease expense were $4.5 million, $4.2 million and $4.2 million under operating leases for the years ended December 31, 2025, 2024 and 2023, respectively. The components of lease expense were $0.9 million, $0.5 million and $0.2 million under finance leases for the years ended December 31, 2025, 2024 and 2023, respectively. The components of short-term lease expense were $1.5 million, $1.8 million and $1.8 million for the years ended December 31, 2025, 2024 and 2023, respectively. Included in the measurement of lease liabilities, we paid $4.8 million and $0.8 million in cash related to operating leases and finance leases during the year ended December 31, 2025, respectively. Right-of-use assets obtained in exchange for new operating and finance lease obligations during the year ended December 31, 2025 were $9.2 million.</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Supplemental balance sheet information related to leases were as follows (in thousands):</w:t>
      </w:r>
    </w:p>
    <w:p>
      <w:pPr>
        <w:spacing w:after="0" w:line="44"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7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 w:type="dxa"/>
            <w:vAlign w:val="bottom"/>
          </w:tcPr>
          <w:p>
            <w:pPr>
              <w:spacing w:after="0"/>
              <w:rPr>
                <w:sz w:val="19"/>
                <w:szCs w:val="19"/>
                <w:color w:val="auto"/>
              </w:rPr>
            </w:pPr>
          </w:p>
        </w:tc>
        <w:tc>
          <w:tcPr>
            <w:tcW w:w="15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19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14,485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9,401</w:t>
            </w:r>
          </w:p>
        </w:tc>
      </w:tr>
      <w:tr>
        <w:trPr>
          <w:trHeight w:val="141"/>
        </w:trPr>
        <w:tc>
          <w:tcPr>
            <w:tcW w:w="7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3,631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3,061</w:t>
            </w: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11,142</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6,655</w:t>
            </w: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14,773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9,716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06"/>
        </w:trPr>
        <w:tc>
          <w:tcPr>
            <w:tcW w:w="7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3,089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2,675</w:t>
            </w:r>
          </w:p>
        </w:tc>
      </w:tr>
      <w:tr>
        <w:trPr>
          <w:trHeight w:val="141"/>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580</w:t>
            </w:r>
          </w:p>
        </w:tc>
      </w:tr>
      <w:tr>
        <w:trPr>
          <w:trHeight w:val="218"/>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2,382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2,155</w:t>
            </w:r>
          </w:p>
        </w:tc>
      </w:tr>
      <w:tr>
        <w:trPr>
          <w:trHeight w:val="235"/>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finance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3,221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2,735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86"/>
        </w:trPr>
        <w:tc>
          <w:tcPr>
            <w:tcW w:w="7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500" w:type="dxa"/>
            <w:vAlign w:val="bottom"/>
          </w:tcPr>
          <w:p>
            <w:pPr>
              <w:spacing w:after="0"/>
              <w:rPr>
                <w:sz w:val="7"/>
                <w:szCs w:val="7"/>
                <w:color w:val="auto"/>
              </w:rPr>
            </w:pPr>
          </w:p>
        </w:tc>
      </w:tr>
      <w:tr>
        <w:trPr>
          <w:trHeight w:val="218"/>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8"/>
        </w:trPr>
        <w:tc>
          <w:tcPr>
            <w:tcW w:w="7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tcPr>
          <w:p>
            <w:pPr>
              <w:spacing w:after="0"/>
              <w:rPr>
                <w:sz w:val="18"/>
                <w:szCs w:val="18"/>
                <w:color w:val="auto"/>
              </w:rPr>
            </w:pPr>
          </w:p>
        </w:tc>
        <w:tc>
          <w:tcPr>
            <w:tcW w:w="16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4.8 years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years</w:t>
            </w:r>
          </w:p>
        </w:tc>
      </w:tr>
      <w:tr>
        <w:trPr>
          <w:trHeight w:val="218"/>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3.7 years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 years</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8"/>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22"/>
        </w:trPr>
        <w:tc>
          <w:tcPr>
            <w:tcW w:w="7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6.8 %</w:t>
            </w:r>
          </w:p>
        </w:tc>
      </w:tr>
    </w:tbl>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63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Maturities of lease liabilities at December 31, 2025, were as follows (in thousands):</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3"/>
        </w:trPr>
        <w:tc>
          <w:tcPr>
            <w:tcW w:w="78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60" w:type="dxa"/>
            <w:vAlign w:val="bottom"/>
          </w:tcPr>
          <w:p>
            <w:pPr>
              <w:spacing w:after="0"/>
              <w:rPr>
                <w:sz w:val="24"/>
                <w:szCs w:val="24"/>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2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380" w:type="dxa"/>
            <w:vAlign w:val="bottom"/>
          </w:tcPr>
          <w:p>
            <w:pPr>
              <w:spacing w:after="0"/>
              <w:rPr>
                <w:sz w:val="24"/>
                <w:szCs w:val="24"/>
                <w:color w:val="auto"/>
              </w:rPr>
            </w:pPr>
          </w:p>
        </w:tc>
        <w:tc>
          <w:tcPr>
            <w:tcW w:w="1380" w:type="dxa"/>
            <w:vAlign w:val="bottom"/>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18"/>
        </w:trPr>
        <w:tc>
          <w:tcPr>
            <w:tcW w:w="780" w:type="dxa"/>
            <w:vAlign w:val="bottom"/>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5,531</w:t>
            </w:r>
          </w:p>
        </w:tc>
      </w:tr>
      <w:tr>
        <w:trPr>
          <w:trHeight w:val="218"/>
        </w:trPr>
        <w:tc>
          <w:tcPr>
            <w:tcW w:w="7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w:t>
            </w:r>
          </w:p>
        </w:tc>
      </w:tr>
      <w:tr>
        <w:trPr>
          <w:trHeight w:val="218"/>
        </w:trPr>
        <w:tc>
          <w:tcPr>
            <w:tcW w:w="780" w:type="dxa"/>
            <w:vAlign w:val="bottom"/>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3,616</w:t>
            </w:r>
          </w:p>
        </w:tc>
      </w:tr>
      <w:tr>
        <w:trPr>
          <w:trHeight w:val="218"/>
        </w:trPr>
        <w:tc>
          <w:tcPr>
            <w:tcW w:w="7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2,434</w:t>
            </w:r>
          </w:p>
        </w:tc>
      </w:tr>
      <w:tr>
        <w:trPr>
          <w:trHeight w:val="218"/>
        </w:trPr>
        <w:tc>
          <w:tcPr>
            <w:tcW w:w="780" w:type="dxa"/>
            <w:vAlign w:val="bottom"/>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2,042</w:t>
            </w:r>
          </w:p>
        </w:tc>
      </w:tr>
      <w:tr>
        <w:trPr>
          <w:trHeight w:val="218"/>
        </w:trPr>
        <w:tc>
          <w:tcPr>
            <w:tcW w:w="780" w:type="dxa"/>
            <w:vAlign w:val="bottom"/>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2,022</w:t>
            </w:r>
          </w:p>
        </w:tc>
      </w:tr>
      <w:tr>
        <w:trPr>
          <w:trHeight w:val="210"/>
        </w:trPr>
        <w:tc>
          <w:tcPr>
            <w:tcW w:w="78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lease payments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20,923</w:t>
            </w:r>
          </w:p>
        </w:tc>
      </w:tr>
      <w:tr>
        <w:trPr>
          <w:trHeight w:val="218"/>
        </w:trPr>
        <w:tc>
          <w:tcPr>
            <w:tcW w:w="780" w:type="dxa"/>
            <w:vAlign w:val="bottom"/>
          </w:tcPr>
          <w:p>
            <w:pPr>
              <w:spacing w:after="0"/>
              <w:rPr>
                <w:sz w:val="18"/>
                <w:szCs w:val="18"/>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w:t>
            </w:r>
          </w:p>
        </w:tc>
      </w:tr>
      <w:tr>
        <w:trPr>
          <w:trHeight w:val="235"/>
        </w:trPr>
        <w:tc>
          <w:tcPr>
            <w:tcW w:w="78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17,994</w:t>
            </w:r>
          </w:p>
        </w:tc>
      </w:tr>
      <w:tr>
        <w:trPr>
          <w:trHeight w:val="20"/>
        </w:trPr>
        <w:tc>
          <w:tcPr>
            <w:tcW w:w="78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374"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6"/>
        </w:trPr>
        <w:tc>
          <w:tcPr>
            <w:tcW w:w="82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10. DEBT</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82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As of December 31, 2025 and 2024, long-term debt consisted of the following (in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1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U.S. revolving credit facility; weighted average interest rate</w:t>
            </w:r>
          </w:p>
        </w:tc>
        <w:tc>
          <w:tcPr>
            <w:tcW w:w="40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of 9.2% for the twelve-month period ended December 31,</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37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6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7"/>
                <w:szCs w:val="17"/>
                <w:color w:val="auto"/>
              </w:rPr>
              <w:t>Canadian revolving credit facility; weighted average interest rate of 6.0% for the twelve-month period ended</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60" w:type="dxa"/>
            <w:vAlign w:val="bottom"/>
            <w:gridSpan w:val="3"/>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Australian revolving credit facility; weighted average interest rate of 6.7% for the twelve-month period ended</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4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50,055</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182,842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auto"/>
              </w:rPr>
              <w:t>Scheduled maturities of long-term debt as of December 31, 2025 are as follows (in thousands):</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82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 Ending</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18"/>
        </w:trPr>
        <w:tc>
          <w:tcPr>
            <w:tcW w:w="460" w:type="dxa"/>
            <w:vAlign w:val="bottom"/>
            <w:gridSpan w:val="2"/>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gridSpan w:val="2"/>
          </w:tcPr>
          <w:p>
            <w:pPr>
              <w:spacing w:after="0"/>
              <w:rPr>
                <w:sz w:val="18"/>
                <w:szCs w:val="18"/>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gridSpan w:val="2"/>
          </w:tcPr>
          <w:p>
            <w:pPr>
              <w:spacing w:after="0"/>
              <w:rPr>
                <w:sz w:val="18"/>
                <w:szCs w:val="18"/>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4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6" w:lineRule="exact"/>
        <w:rPr>
          <w:sz w:val="20"/>
          <w:szCs w:val="20"/>
          <w:color w:val="auto"/>
        </w:rPr>
      </w:pPr>
    </w:p>
    <w:p>
      <w:pPr>
        <w:jc w:val="both"/>
        <w:ind w:right="100" w:firstLine="461"/>
        <w:spacing w:after="0" w:line="284" w:lineRule="auto"/>
        <w:rPr>
          <w:sz w:val="20"/>
          <w:szCs w:val="20"/>
          <w:color w:val="auto"/>
        </w:rPr>
      </w:pPr>
      <w:r>
        <w:rPr>
          <w:rFonts w:ascii="Times New Roman" w:cs="Times New Roman" w:eastAsia="Times New Roman" w:hAnsi="Times New Roman"/>
          <w:sz w:val="17"/>
          <w:szCs w:val="17"/>
          <w:color w:val="auto"/>
        </w:rPr>
        <w:t>On March 24, 2025, we amended our Syndicated Facility Agreement (as amended to date, the Credit Agreement), to increase the Australian revolving commitments by $20.0 million to an aggregate amount of $55.0 million.</w:t>
      </w:r>
    </w:p>
    <w:p>
      <w:pPr>
        <w:spacing w:after="0" w:line="178" w:lineRule="exact"/>
        <w:rPr>
          <w:sz w:val="20"/>
          <w:szCs w:val="20"/>
          <w:color w:val="auto"/>
        </w:rPr>
      </w:pPr>
    </w:p>
    <w:p>
      <w:pPr>
        <w:jc w:val="both"/>
        <w:ind w:right="100" w:firstLine="461"/>
        <w:spacing w:after="0" w:line="262" w:lineRule="auto"/>
        <w:rPr>
          <w:sz w:val="20"/>
          <w:szCs w:val="20"/>
          <w:color w:val="auto"/>
        </w:rPr>
      </w:pPr>
      <w:r>
        <w:rPr>
          <w:rFonts w:ascii="Times New Roman" w:cs="Times New Roman" w:eastAsia="Times New Roman" w:hAnsi="Times New Roman"/>
          <w:sz w:val="17"/>
          <w:szCs w:val="17"/>
          <w:color w:val="auto"/>
        </w:rPr>
        <w:t>As of December 31, 2025, our Credit Agreement provided for a $265.0 million revolving credit facility scheduled to mature on August 8, 2028, allocated as follows: (A) a $10.0 million senior secured revolving credit facility in favor of certain of our U.S. subsidiaries, as borrowers (the U.S. Facility); (B) a $200.0 million senior secured revolving credit facility in favor of Civeo and certain of our U.S. subsidiaries, as borrowers (the Canadian Facility); and (C) a $55.0 million senior secured revolving credit facility in favor of one of our Australian subsidiaries, as borrower.</w:t>
      </w:r>
    </w:p>
    <w:p>
      <w:pPr>
        <w:spacing w:after="0" w:line="184" w:lineRule="exact"/>
        <w:rPr>
          <w:sz w:val="20"/>
          <w:szCs w:val="20"/>
          <w:color w:val="auto"/>
        </w:rPr>
      </w:pPr>
    </w:p>
    <w:p>
      <w:pPr>
        <w:jc w:val="both"/>
        <w:ind w:right="100" w:firstLine="461"/>
        <w:spacing w:after="0" w:line="238" w:lineRule="auto"/>
        <w:rPr>
          <w:sz w:val="20"/>
          <w:szCs w:val="20"/>
          <w:color w:val="auto"/>
        </w:rPr>
      </w:pPr>
      <w:r>
        <w:rPr>
          <w:rFonts w:ascii="Times New Roman" w:cs="Times New Roman" w:eastAsia="Times New Roman" w:hAnsi="Times New Roman"/>
          <w:sz w:val="17"/>
          <w:szCs w:val="17"/>
          <w:color w:val="auto"/>
        </w:rPr>
        <w:t>U.S. dollar amounts outstanding under the facilities provided by the Credit Agreement bear interest at a variable rate equal to Adjusted Term Secured Overnight Financing Rate (SOFR), which is equal to Term SOFR plus a 10 basis point adjustment, plus a margin of 2.50% to 3.75%, or a base rate plus 1.50% to 2.75%, in each case based on a ratio of our total net debt to Consolidated EBITDA (as defined in the Credit Agreement). Canadian dollar amounts outstanding bear interest at a variable rate equal to Adjusted Term Canadian Overnight Repo Rate Average (CORRA) which is equal to the Term CORRA plus a 29.547 basis point adjustment for one month terms or 32.138 basis point adjustment for three month terms, plus a margin of 2.50% to 3.75%, or a Canadian Prime rate plus a margin of 1.50% to 2.75%, in each case based on a ratio of our total net debt to Consolidated EBITDA (as defined in the Credit Agreement). Australian dollar amounts outstanding under the Credit Agreement bear interest at a variable rate equal to the Bank Bill Swap Bid Rate plus a margin of 2.50% to 3.75%, based on a ratio of our total net debt to Consolidated EBITDA (as defined in the Credit Agreement).</w:t>
      </w:r>
    </w:p>
    <w:p>
      <w:pPr>
        <w:spacing w:after="0" w:line="178" w:lineRule="exact"/>
        <w:rPr>
          <w:sz w:val="20"/>
          <w:szCs w:val="20"/>
          <w:color w:val="auto"/>
        </w:rPr>
      </w:pPr>
    </w:p>
    <w:p>
      <w:pPr>
        <w:jc w:val="both"/>
        <w:ind w:right="100" w:firstLine="461"/>
        <w:spacing w:after="0"/>
        <w:rPr>
          <w:sz w:val="20"/>
          <w:szCs w:val="20"/>
          <w:color w:val="auto"/>
        </w:rPr>
      </w:pPr>
      <w:r>
        <w:rPr>
          <w:rFonts w:ascii="Times New Roman" w:cs="Times New Roman" w:eastAsia="Times New Roman" w:hAnsi="Times New Roman"/>
          <w:sz w:val="17"/>
          <w:szCs w:val="17"/>
          <w:color w:val="auto"/>
        </w:rPr>
        <w:t>The Credit Agreement contains customary affirmative and negative covenants that, among other things, limit or restrict: (i) indebtedness, liens and fundamental changes; (ii) asset sales; (iii) specified acquisitions; (iv) certain restrictive agreements; (v) transactions with affiliates; and (vi) investments and other restricted payments, including dividends and other distributions. In addition, we must maintain a minimum interest coverage ratio, defined as the ratio of consolidated EBITDA to consolidated interest expense, of at least 3.00 to 1.00 and a maximum net leverage ratio, defined as the ratio of total net debt to Consolidated EBITDA, of no greater than 3.00 to 1.00. Following a qualified offering of indebtedness, we will be required to maintain a maximum leverage ratio of no greater than 3.50 to 1.00 and a maximum senior secured ratio no greater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December 31, 2025.</w:t>
      </w:r>
    </w:p>
    <w:p>
      <w:pPr>
        <w:spacing w:after="0" w:line="165" w:lineRule="exact"/>
        <w:rPr>
          <w:sz w:val="20"/>
          <w:szCs w:val="20"/>
          <w:color w:val="auto"/>
        </w:rPr>
      </w:pPr>
    </w:p>
    <w:p>
      <w:pPr>
        <w:jc w:val="both"/>
        <w:ind w:right="100" w:firstLine="461"/>
        <w:spacing w:after="0" w:line="244" w:lineRule="auto"/>
        <w:rPr>
          <w:sz w:val="20"/>
          <w:szCs w:val="20"/>
          <w:color w:val="auto"/>
        </w:rPr>
      </w:pPr>
      <w:r>
        <w:rPr>
          <w:rFonts w:ascii="Times New Roman" w:cs="Times New Roman" w:eastAsia="Times New Roman" w:hAnsi="Times New Roman"/>
          <w:sz w:val="17"/>
          <w:szCs w:val="17"/>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December 31, 2025, we had six lenders that were parties to the Credit Agreement, with total revolving</w:t>
      </w: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92" w:name="page93"/>
    <w:bookmarkEnd w:id="92"/>
    <w:p>
      <w:pPr>
        <w:ind w:right="100"/>
        <w:spacing w:after="0" w:line="268" w:lineRule="auto"/>
        <w:rPr>
          <w:sz w:val="20"/>
          <w:szCs w:val="20"/>
          <w:color w:val="auto"/>
        </w:rPr>
      </w:pPr>
      <w:r>
        <w:rPr>
          <w:rFonts w:ascii="Times New Roman" w:cs="Times New Roman" w:eastAsia="Times New Roman" w:hAnsi="Times New Roman"/>
          <w:sz w:val="17"/>
          <w:szCs w:val="17"/>
          <w:color w:val="auto"/>
        </w:rPr>
        <w:t>commitments ranging from $35.0 million to $60.0 million. As of December 31, 2025, we had outstanding letters of credit of zero under the U.S. facility, zero under the Australian facility and $0.9 million under the Canadian facility. We also had outstanding bank guarantees of A$1.4 million under the Australian facility.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11. ASSET RETIREMENT OBLIGATIONS</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35"/>
        </w:trPr>
        <w:tc>
          <w:tcPr>
            <w:tcW w:w="874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AROs at December 31, 2025 and 2024 were (in thousands):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460" w:type="dxa"/>
            <w:vAlign w:val="bottom"/>
          </w:tcPr>
          <w:p>
            <w:pPr>
              <w:spacing w:after="0"/>
              <w:rPr>
                <w:sz w:val="21"/>
                <w:szCs w:val="21"/>
                <w:color w:val="auto"/>
              </w:rPr>
            </w:pPr>
          </w:p>
        </w:tc>
        <w:tc>
          <w:tcPr>
            <w:tcW w:w="82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0"/>
        </w:trPr>
        <w:tc>
          <w:tcPr>
            <w:tcW w:w="460" w:type="dxa"/>
            <w:vAlign w:val="bottom"/>
          </w:tcPr>
          <w:p>
            <w:pPr>
              <w:spacing w:after="0"/>
              <w:rPr>
                <w:sz w:val="18"/>
                <w:szCs w:val="18"/>
                <w:color w:val="auto"/>
              </w:rPr>
            </w:pP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retirement obligations</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16,909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18"/>
        </w:trPr>
        <w:tc>
          <w:tcPr>
            <w:tcW w:w="460" w:type="dxa"/>
            <w:vAlign w:val="bottom"/>
          </w:tcPr>
          <w:p>
            <w:pPr>
              <w:spacing w:after="0"/>
              <w:rPr>
                <w:sz w:val="18"/>
                <w:szCs w:val="18"/>
                <w:color w:val="auto"/>
              </w:rPr>
            </w:pPr>
          </w:p>
        </w:tc>
        <w:tc>
          <w:tcPr>
            <w:tcW w:w="8280" w:type="dxa"/>
            <w:vAlign w:val="bottom"/>
            <w:tcBorders>
              <w:bottom w:val="single" w:sz="8" w:color="CCEEFF"/>
            </w:tcBorders>
          </w:tcPr>
          <w:p>
            <w:pPr>
              <w:ind w:left="140"/>
              <w:spacing w:after="0" w:line="218" w:lineRule="exact"/>
              <w:rPr>
                <w:sz w:val="20"/>
                <w:szCs w:val="20"/>
                <w:color w:val="auto"/>
              </w:rPr>
            </w:pPr>
            <w:r>
              <w:rPr>
                <w:rFonts w:ascii="Times New Roman" w:cs="Times New Roman" w:eastAsia="Times New Roman" w:hAnsi="Times New Roman"/>
                <w:sz w:val="17"/>
                <w:szCs w:val="17"/>
                <w:color w:val="auto"/>
              </w:rPr>
              <w:t xml:space="preserve">Less: Asset retirement obligations due within one year </w:t>
            </w:r>
            <w:r>
              <w:rPr>
                <w:rFonts w:ascii="Times New Roman" w:cs="Times New Roman" w:eastAsia="Times New Roman" w:hAnsi="Times New Roman"/>
                <w:sz w:val="22"/>
                <w:szCs w:val="22"/>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5"/>
        </w:trPr>
        <w:tc>
          <w:tcPr>
            <w:tcW w:w="460" w:type="dxa"/>
            <w:vAlign w:val="bottom"/>
          </w:tcPr>
          <w:p>
            <w:pPr>
              <w:spacing w:after="0"/>
              <w:rPr>
                <w:sz w:val="20"/>
                <w:szCs w:val="20"/>
                <w:color w:val="auto"/>
              </w:rPr>
            </w:pPr>
          </w:p>
        </w:tc>
        <w:tc>
          <w:tcPr>
            <w:tcW w:w="828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Long-term asset retirement obligations </w:t>
            </w:r>
            <w:r>
              <w:rPr>
                <w:rFonts w:ascii="Times New Roman" w:cs="Times New Roman" w:eastAsia="Times New Roman" w:hAnsi="Times New Roman"/>
                <w:sz w:val="22"/>
                <w:szCs w:val="22"/>
                <w:color w:val="auto"/>
                <w:vertAlign w:val="superscript"/>
              </w:rPr>
              <w:t>(2)</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14,618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0"/>
        </w:trPr>
        <w:tc>
          <w:tcPr>
            <w:tcW w:w="460" w:type="dxa"/>
            <w:vAlign w:val="bottom"/>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60" w:right="140" w:hanging="341"/>
        <w:spacing w:after="0" w:line="207" w:lineRule="auto"/>
        <w:tabs>
          <w:tab w:leader="none" w:pos="36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Classified as a current liability on the consolidated balance sheets, under the caption “Other current liabilities.” Balance at December 31, 2025 related to remediation work planned for 2026.</w:t>
      </w:r>
    </w:p>
    <w:p>
      <w:pPr>
        <w:spacing w:after="0" w:line="1" w:lineRule="exact"/>
        <w:rPr>
          <w:rFonts w:ascii="Times New Roman" w:cs="Times New Roman" w:eastAsia="Times New Roman" w:hAnsi="Times New Roman"/>
          <w:sz w:val="22"/>
          <w:szCs w:val="22"/>
          <w:color w:val="auto"/>
          <w:vertAlign w:val="superscript"/>
        </w:rPr>
      </w:pPr>
    </w:p>
    <w:p>
      <w:pPr>
        <w:ind w:left="360" w:hanging="341"/>
        <w:spacing w:after="0" w:line="218" w:lineRule="auto"/>
        <w:tabs>
          <w:tab w:leader="none" w:pos="36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Classified as a long-term liability on the consolidated balance sheets, under the caption “Other noncurrent liabilities.” Balance at December 31, 2025.</w:t>
      </w:r>
    </w:p>
    <w:p>
      <w:pPr>
        <w:spacing w:after="0" w:line="265" w:lineRule="exact"/>
        <w:rPr>
          <w:sz w:val="20"/>
          <w:szCs w:val="20"/>
          <w:color w:val="auto"/>
        </w:rPr>
      </w:pPr>
    </w:p>
    <w:p>
      <w:pPr>
        <w:jc w:val="both"/>
        <w:ind w:right="100" w:firstLine="461"/>
        <w:spacing w:after="0" w:line="284" w:lineRule="auto"/>
        <w:rPr>
          <w:sz w:val="20"/>
          <w:szCs w:val="20"/>
          <w:color w:val="auto"/>
        </w:rPr>
      </w:pPr>
      <w:r>
        <w:rPr>
          <w:rFonts w:ascii="Times New Roman" w:cs="Times New Roman" w:eastAsia="Times New Roman" w:hAnsi="Times New Roman"/>
          <w:sz w:val="17"/>
          <w:szCs w:val="17"/>
          <w:color w:val="auto"/>
        </w:rPr>
        <w:t>Total accretion expense related to AROs was $1.1 million, $1.1 million and $1.1 million during the years ended December 31, 2025, 2024 and 2023, respectively.</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During the years ended December 31, 2025, 2024 and 2023, our ARO changed as follows (in thousands):</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January 1</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14,109</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16,215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18,113</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Accretion of discount</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w:t>
            </w:r>
          </w:p>
        </w:tc>
      </w:tr>
      <w:tr>
        <w:trPr>
          <w:trHeight w:val="218"/>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New obligations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estimates of existing obligations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w:t>
            </w:r>
          </w:p>
        </w:tc>
      </w:tr>
      <w:tr>
        <w:trPr>
          <w:trHeight w:val="218"/>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Settlement of obligations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(1,936)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(4,756)</w:t>
            </w:r>
          </w:p>
        </w:tc>
      </w:tr>
      <w:tr>
        <w:trPr>
          <w:trHeight w:val="218"/>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6"/>
              </w:rPr>
              <w:t>(1,302)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35"/>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16,909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14,109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RETIREMENT PLANS</w:t>
      </w:r>
    </w:p>
    <w:p>
      <w:pPr>
        <w:spacing w:after="0" w:line="244" w:lineRule="exact"/>
        <w:rPr>
          <w:sz w:val="20"/>
          <w:szCs w:val="20"/>
          <w:color w:val="auto"/>
        </w:rPr>
      </w:pPr>
    </w:p>
    <w:p>
      <w:pPr>
        <w:jc w:val="both"/>
        <w:ind w:right="100" w:firstLine="461"/>
        <w:spacing w:after="0" w:line="259" w:lineRule="auto"/>
        <w:rPr>
          <w:sz w:val="20"/>
          <w:szCs w:val="20"/>
          <w:color w:val="auto"/>
        </w:rPr>
      </w:pPr>
      <w:r>
        <w:rPr>
          <w:rFonts w:ascii="Times New Roman" w:cs="Times New Roman" w:eastAsia="Times New Roman" w:hAnsi="Times New Roman"/>
          <w:sz w:val="17"/>
          <w:szCs w:val="17"/>
          <w:color w:val="auto"/>
        </w:rPr>
        <w:t>We sponsor various defined contribution plans. Participation in these plans is available to substantially all employees in each applicable jurisdiction. A defined contribution plan is a post-employment benefit plan under which an entity pays fixed contributions into a separate entity and will generally have no legal or constructive obligation to pay further amounts. Obligations for contributions to defined contribution plans are recognized as an employee benefit expense in profit or loss in the periods during which services are rendered by employees. We recognized expense of $16.3 million, $14.3 million and $10.2 million related to matching contributions under our various defined contribution plans during the years ended December 31, 2025, 2024 and 2023,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Canadian Retirement Savings Plan</w:t>
      </w:r>
    </w:p>
    <w:p>
      <w:pPr>
        <w:spacing w:after="0" w:line="220" w:lineRule="exact"/>
        <w:rPr>
          <w:sz w:val="20"/>
          <w:szCs w:val="20"/>
          <w:color w:val="auto"/>
        </w:rPr>
      </w:pPr>
    </w:p>
    <w:p>
      <w:pPr>
        <w:jc w:val="both"/>
        <w:ind w:right="100" w:firstLine="461"/>
        <w:spacing w:after="0" w:line="256" w:lineRule="auto"/>
        <w:rPr>
          <w:sz w:val="20"/>
          <w:szCs w:val="20"/>
          <w:color w:val="auto"/>
        </w:rPr>
      </w:pPr>
      <w:r>
        <w:rPr>
          <w:rFonts w:ascii="Times New Roman" w:cs="Times New Roman" w:eastAsia="Times New Roman" w:hAnsi="Times New Roman"/>
          <w:sz w:val="17"/>
          <w:szCs w:val="17"/>
          <w:color w:val="auto"/>
        </w:rPr>
        <w:t>We offer a defined contribution retirement plan to our Canadian employees. In Canada, we contribute, on a matched basis, an amount up to 5% of each Canadian based, salaried employee’s earnings (base salary plus annual incentive compensation) to the legislated maximum for a Deferred Profit Sharing Plan (DPSP). The maximum for 2025 was C$16,905. DPSP is a form of defined contribution retirement savings plan governed by Canadian federal tax legislation which provides for the deferral of tax on deposits and investment returns until removed from the plan to support retirement income. Employer contributions vest upon the completion of two years of service. Employee contributions are required in order to be eligible for the DPSP employer matching. Maximum employer matching (5% noted above) is attained with 6% employee contribution which would go into a Group Registered Retirement Savings Plan. The two plans work in tandem. Contributions to the “Retirement Savings Plan” for Canadian employees are subject to the annual maximum total registered savings limit of C$33,810 in 2025 as set out in the Canadian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40"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i w:val="1"/>
          <w:iCs w:val="1"/>
          <w:color w:val="auto"/>
        </w:rPr>
        <w:t>Australian Retirement Savings Plan</w:t>
      </w:r>
    </w:p>
    <w:p>
      <w:pPr>
        <w:spacing w:after="0" w:line="220" w:lineRule="exact"/>
        <w:rPr>
          <w:sz w:val="20"/>
          <w:szCs w:val="20"/>
          <w:color w:val="auto"/>
        </w:rPr>
      </w:pPr>
    </w:p>
    <w:p>
      <w:pPr>
        <w:jc w:val="both"/>
        <w:ind w:right="100" w:firstLine="461"/>
        <w:spacing w:after="0" w:line="267" w:lineRule="auto"/>
        <w:rPr>
          <w:sz w:val="20"/>
          <w:szCs w:val="20"/>
          <w:color w:val="auto"/>
        </w:rPr>
      </w:pPr>
      <w:r>
        <w:rPr>
          <w:rFonts w:ascii="Times New Roman" w:cs="Times New Roman" w:eastAsia="Times New Roman" w:hAnsi="Times New Roman"/>
          <w:sz w:val="17"/>
          <w:szCs w:val="17"/>
          <w:color w:val="auto"/>
        </w:rPr>
        <w:t>Our Australian subsidiary contributes to various defined contribution plans for its employees in accordance with legislation governing the calculation of the Superannuation Guarantee Surcharge (SGC). SGC is contributed by the employer at a rate of 12% of the base salary of an employee, capped at the legislated maximum contribution base which is indexed annually.</w:t>
      </w:r>
    </w:p>
    <w:p>
      <w:pPr>
        <w:spacing w:after="0" w:line="167" w:lineRule="exact"/>
        <w:rPr>
          <w:sz w:val="20"/>
          <w:szCs w:val="20"/>
          <w:color w:val="auto"/>
        </w:rPr>
      </w:pPr>
    </w:p>
    <w:p>
      <w:pPr>
        <w:jc w:val="both"/>
        <w:ind w:right="100" w:firstLine="461"/>
        <w:spacing w:after="0" w:line="284" w:lineRule="auto"/>
        <w:rPr>
          <w:sz w:val="20"/>
          <w:szCs w:val="20"/>
          <w:color w:val="auto"/>
        </w:rPr>
      </w:pPr>
      <w:r>
        <w:rPr>
          <w:rFonts w:ascii="Times New Roman" w:cs="Times New Roman" w:eastAsia="Times New Roman" w:hAnsi="Times New Roman"/>
          <w:sz w:val="17"/>
          <w:szCs w:val="17"/>
          <w:color w:val="auto"/>
        </w:rPr>
        <w:t>Our Australian subsidiary makes no investment decisions on behalf of the employee and has no obligations other than to remit the defined contributions to the plan selected by each individual 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Retirement Savings Plan</w:t>
      </w:r>
    </w:p>
    <w:p>
      <w:pPr>
        <w:spacing w:after="0" w:line="220" w:lineRule="exact"/>
        <w:rPr>
          <w:sz w:val="20"/>
          <w:szCs w:val="20"/>
          <w:color w:val="auto"/>
        </w:rPr>
      </w:pPr>
    </w:p>
    <w:p>
      <w:pPr>
        <w:jc w:val="both"/>
        <w:ind w:right="100" w:firstLine="461"/>
        <w:spacing w:after="0" w:line="259" w:lineRule="auto"/>
        <w:rPr>
          <w:sz w:val="20"/>
          <w:szCs w:val="20"/>
          <w:color w:val="auto"/>
        </w:rPr>
      </w:pPr>
      <w:r>
        <w:rPr>
          <w:rFonts w:ascii="Times New Roman" w:cs="Times New Roman" w:eastAsia="Times New Roman" w:hAnsi="Times New Roman"/>
          <w:sz w:val="17"/>
          <w:szCs w:val="17"/>
          <w:color w:val="auto"/>
        </w:rPr>
        <w:t>We offer a defined contribution 401(k) retirement plan to substantially all of our U.S. employees. Participants may contribute from 1% to 75% of their base and cash incentive compensation (subject to Internal Revenue Service limitations), and we make matching contributions under this plan on the first 6% of the participant’s eligible compensation (100% match of the employee contribution up to the first 4% of the participant's eligible compensation and 50% match on the employee contribution up to the next 2% of the participant's eligible compensation). Our matching contributions vest at a rate of 40% after two years of service and 20% per year for each of the employee’s next three years of service and are fully vested thereafter.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18" w:lineRule="exact"/>
        <w:rPr>
          <w:sz w:val="20"/>
          <w:szCs w:val="20"/>
          <w:color w:val="auto"/>
        </w:rPr>
      </w:pPr>
    </w:p>
    <w:p>
      <w:pPr>
        <w:jc w:val="both"/>
        <w:ind w:right="100" w:firstLine="461"/>
        <w:spacing w:after="0" w:line="284" w:lineRule="auto"/>
        <w:rPr>
          <w:sz w:val="20"/>
          <w:szCs w:val="20"/>
          <w:color w:val="auto"/>
        </w:rPr>
      </w:pPr>
      <w:r>
        <w:rPr>
          <w:rFonts w:ascii="Times New Roman" w:cs="Times New Roman" w:eastAsia="Times New Roman" w:hAnsi="Times New Roman"/>
          <w:sz w:val="17"/>
          <w:szCs w:val="17"/>
          <w:color w:val="auto"/>
        </w:rPr>
        <w:t>The Company’s operations are conducted through various subsidiaries in a number of countries throughout the world. The Company has provided for income taxes based upon the tax laws and rates in the countries in which operations are conducted and income is earned.</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Income tax expense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benefit). </w:t>
      </w:r>
      <w:r>
        <w:rPr>
          <w:rFonts w:ascii="Times New Roman" w:cs="Times New Roman" w:eastAsia="Times New Roman" w:hAnsi="Times New Roman"/>
          <w:sz w:val="17"/>
          <w:szCs w:val="17"/>
          <w:color w:val="auto"/>
        </w:rPr>
        <w:t>Pre-tax income (loss) for the years ended December 31, 2025, 2024 and 2023 consisted of the following (in thousands):</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6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Canada operations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8"/>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operations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5"/>
        </w:trPr>
        <w:tc>
          <w:tcPr>
            <w:tcW w:w="6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the income tax expense (benefit) for the years ended December 31, 2025, 2024 and 2023 consisted of the following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7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8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6740" w:type="dxa"/>
            <w:vAlign w:val="bottom"/>
          </w:tcPr>
          <w:p>
            <w:pPr>
              <w:jc w:val="right"/>
              <w:ind w:right="5975"/>
              <w:spacing w:after="0"/>
              <w:rPr>
                <w:sz w:val="20"/>
                <w:szCs w:val="20"/>
                <w:color w:val="auto"/>
              </w:rPr>
            </w:pPr>
            <w:r>
              <w:rPr>
                <w:rFonts w:ascii="Times New Roman" w:cs="Times New Roman" w:eastAsia="Times New Roman" w:hAnsi="Times New Roman"/>
                <w:sz w:val="17"/>
                <w:szCs w:val="17"/>
                <w:color w:val="auto"/>
              </w:rPr>
              <w:t>Canada</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18"/>
        </w:trPr>
        <w:tc>
          <w:tcPr>
            <w:tcW w:w="6740" w:type="dxa"/>
            <w:vAlign w:val="bottom"/>
            <w:shd w:val="clear" w:color="auto" w:fill="CCEEFF"/>
          </w:tcPr>
          <w:p>
            <w:pPr>
              <w:jc w:val="right"/>
              <w:ind w:right="5995"/>
              <w:spacing w:after="0"/>
              <w:rPr>
                <w:sz w:val="20"/>
                <w:szCs w:val="20"/>
                <w:color w:val="auto"/>
              </w:rPr>
            </w:pPr>
            <w:r>
              <w:rPr>
                <w:rFonts w:ascii="Times New Roman" w:cs="Times New Roman" w:eastAsia="Times New Roman" w:hAnsi="Times New Roman"/>
                <w:sz w:val="17"/>
                <w:szCs w:val="17"/>
                <w:color w:val="auto"/>
              </w:rPr>
              <w:t>Foreign</w:t>
            </w:r>
          </w:p>
        </w:tc>
        <w:tc>
          <w:tcPr>
            <w:tcW w:w="8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18,029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210"/>
        </w:trPr>
        <w:tc>
          <w:tcPr>
            <w:tcW w:w="6740" w:type="dxa"/>
            <w:vAlign w:val="bottom"/>
          </w:tcPr>
          <w:p>
            <w:pPr>
              <w:jc w:val="right"/>
              <w:ind w:right="5995"/>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18,029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20,151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3,827</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8"/>
        </w:trPr>
        <w:tc>
          <w:tcPr>
            <w:tcW w:w="67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r>
      <w:tr>
        <w:trPr>
          <w:trHeight w:val="218"/>
        </w:trPr>
        <w:tc>
          <w:tcPr>
            <w:tcW w:w="6740" w:type="dxa"/>
            <w:vAlign w:val="bottom"/>
          </w:tcPr>
          <w:p>
            <w:pPr>
              <w:jc w:val="right"/>
              <w:ind w:right="5995"/>
              <w:spacing w:after="0"/>
              <w:rPr>
                <w:sz w:val="20"/>
                <w:szCs w:val="20"/>
                <w:color w:val="auto"/>
              </w:rPr>
            </w:pPr>
            <w:r>
              <w:rPr>
                <w:rFonts w:ascii="Times New Roman" w:cs="Times New Roman" w:eastAsia="Times New Roman" w:hAnsi="Times New Roman"/>
                <w:sz w:val="17"/>
                <w:szCs w:val="17"/>
                <w:color w:val="auto"/>
                <w:w w:val="98"/>
              </w:rPr>
              <w:t>Deferred: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6740" w:type="dxa"/>
            <w:vAlign w:val="bottom"/>
            <w:shd w:val="clear" w:color="auto" w:fill="CCEEFF"/>
          </w:tcPr>
          <w:p>
            <w:pPr>
              <w:jc w:val="right"/>
              <w:ind w:right="5975"/>
              <w:spacing w:after="0"/>
              <w:rPr>
                <w:sz w:val="20"/>
                <w:szCs w:val="20"/>
                <w:color w:val="auto"/>
              </w:rPr>
            </w:pPr>
            <w:r>
              <w:rPr>
                <w:rFonts w:ascii="Times New Roman" w:cs="Times New Roman" w:eastAsia="Times New Roman" w:hAnsi="Times New Roman"/>
                <w:sz w:val="17"/>
                <w:szCs w:val="17"/>
                <w:color w:val="auto"/>
              </w:rPr>
              <w:t>Canada</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6740" w:type="dxa"/>
            <w:vAlign w:val="bottom"/>
            <w:tcBorders>
              <w:bottom w:val="single" w:sz="8" w:color="CCEEFF"/>
            </w:tcBorders>
          </w:tcPr>
          <w:p>
            <w:pPr>
              <w:jc w:val="right"/>
              <w:ind w:right="5995"/>
              <w:spacing w:after="0"/>
              <w:rPr>
                <w:sz w:val="20"/>
                <w:szCs w:val="20"/>
                <w:color w:val="auto"/>
              </w:rPr>
            </w:pPr>
            <w:r>
              <w:rPr>
                <w:rFonts w:ascii="Times New Roman" w:cs="Times New Roman" w:eastAsia="Times New Roman" w:hAnsi="Times New Roman"/>
                <w:sz w:val="17"/>
                <w:szCs w:val="17"/>
                <w:color w:val="auto"/>
              </w:rPr>
              <w:t>Foreign</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(7,659)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6,806</w:t>
            </w:r>
          </w:p>
        </w:tc>
      </w:tr>
      <w:tr>
        <w:trPr>
          <w:trHeight w:val="235"/>
        </w:trPr>
        <w:tc>
          <w:tcPr>
            <w:tcW w:w="6740" w:type="dxa"/>
            <w:vAlign w:val="bottom"/>
            <w:tcBorders>
              <w:bottom w:val="single" w:sz="8" w:color="CCEEFF"/>
            </w:tcBorders>
            <w:shd w:val="clear" w:color="auto" w:fill="CCEEFF"/>
          </w:tcPr>
          <w:p>
            <w:pPr>
              <w:jc w:val="right"/>
              <w:ind w:right="5995"/>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8"/>
        </w:trPr>
        <w:tc>
          <w:tcPr>
            <w:tcW w:w="6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tax expense</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13,620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47" w:right="239" w:bottom="1440" w:gutter="0" w:footer="0" w:header="0"/>
        </w:sectPr>
      </w:pPr>
    </w:p>
    <w:bookmarkStart w:id="94" w:name="page95"/>
    <w:bookmarkEnd w:id="94"/>
    <w:p>
      <w:pPr>
        <w:ind w:firstLine="461"/>
        <w:spacing w:after="0" w:line="284" w:lineRule="auto"/>
        <w:rPr>
          <w:sz w:val="20"/>
          <w:szCs w:val="20"/>
          <w:color w:val="auto"/>
        </w:rPr>
      </w:pPr>
      <w:r>
        <w:rPr>
          <w:rFonts w:ascii="Times New Roman" w:cs="Times New Roman" w:eastAsia="Times New Roman" w:hAnsi="Times New Roman"/>
          <w:sz w:val="17"/>
          <w:szCs w:val="17"/>
          <w:color w:val="auto"/>
        </w:rPr>
        <w:t>The net income tax expense (benefit) differs from an amount computed at Canadian statutory rates as follows for the years ended December 31, 2025 pursuant to the disclosure requirements of ASU 2023-09 (in thousands):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3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900" w:type="dxa"/>
            <w:vAlign w:val="bottom"/>
            <w:tcBorders>
              <w:bottom w:val="single" w:sz="8" w:color="auto"/>
            </w:tcBorders>
          </w:tcPr>
          <w:p>
            <w:pPr>
              <w:spacing w:after="0"/>
              <w:rPr>
                <w:sz w:val="19"/>
                <w:szCs w:val="19"/>
                <w:color w:val="auto"/>
              </w:rPr>
            </w:pPr>
          </w:p>
        </w:tc>
      </w:tr>
      <w:tr>
        <w:trPr>
          <w:trHeight w:val="210"/>
        </w:trPr>
        <w:tc>
          <w:tcPr>
            <w:tcW w:w="36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b w:val="1"/>
                <w:bCs w:val="1"/>
                <w:color w:val="auto"/>
              </w:rPr>
              <w:t xml:space="preserve">Canada Federal Statutory Tax Rate </w:t>
            </w:r>
            <w:r>
              <w:rPr>
                <w:rFonts w:ascii="Times New Roman" w:cs="Times New Roman" w:eastAsia="Times New Roman" w:hAnsi="Times New Roman"/>
                <w:sz w:val="22"/>
                <w:szCs w:val="22"/>
                <w:b w:val="1"/>
                <w:bCs w:val="1"/>
                <w:color w:val="auto"/>
                <w:vertAlign w:val="superscript"/>
              </w:rPr>
              <w:t>(1)</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Canada Provincial Taxes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6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Provincial tax at statutory rate </w:t>
            </w:r>
            <w:r>
              <w:rPr>
                <w:rFonts w:ascii="Times New Roman" w:cs="Times New Roman" w:eastAsia="Times New Roman" w:hAnsi="Times New Roman"/>
                <w:sz w:val="22"/>
                <w:szCs w:val="22"/>
                <w:color w:val="auto"/>
                <w:vertAlign w:val="superscript"/>
              </w:rPr>
              <w:t>(2)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58.0 %</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Valuation Allowance</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Foreign Tax Effects: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Australia</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tax rate difference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Withholding tax credit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United States</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tax rate difference</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income tax</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Effect of cross border tax laws: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Deemed income from foreign subsidiaries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Withholding tax</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Changes in valuation allowance</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r>
      <w:tr>
        <w:trPr>
          <w:trHeight w:val="21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Nontaxable or Nondeductible Items:</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Nontaxable capital loss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4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tax expense</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13,620</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40" w:hanging="177"/>
        <w:spacing w:after="0"/>
        <w:tabs>
          <w:tab w:leader="none" w:pos="64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Canada federal statutory rate of 15%, net of the federal tax abatement and general rate reduction.</w:t>
      </w:r>
    </w:p>
    <w:p>
      <w:pPr>
        <w:ind w:left="640" w:hanging="177"/>
        <w:spacing w:after="0" w:line="193" w:lineRule="auto"/>
        <w:tabs>
          <w:tab w:leader="none" w:pos="64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Provincial taxes in Alberta comprise the majority (more than 50%) of the taxes in this category.</w:t>
      </w:r>
    </w:p>
    <w:p>
      <w:pPr>
        <w:spacing w:after="0" w:line="214" w:lineRule="exact"/>
        <w:rPr>
          <w:sz w:val="20"/>
          <w:szCs w:val="20"/>
          <w:color w:val="auto"/>
        </w:rPr>
      </w:pPr>
    </w:p>
    <w:p>
      <w:pPr>
        <w:ind w:firstLine="461"/>
        <w:spacing w:after="0" w:line="284" w:lineRule="auto"/>
        <w:rPr>
          <w:sz w:val="20"/>
          <w:szCs w:val="20"/>
          <w:color w:val="auto"/>
        </w:rPr>
      </w:pPr>
      <w:r>
        <w:rPr>
          <w:rFonts w:ascii="Times New Roman" w:cs="Times New Roman" w:eastAsia="Times New Roman" w:hAnsi="Times New Roman"/>
          <w:sz w:val="17"/>
          <w:szCs w:val="17"/>
          <w:color w:val="auto"/>
        </w:rPr>
        <w:t>The net income tax expense (benefit) differs from an amount computed at Canadian statutory rates as follows for the years ended December 31, 2024 and 2023 (in thousands):</w:t>
      </w:r>
    </w:p>
    <w:p>
      <w:pPr>
        <w:spacing w:after="0" w:line="58" w:lineRule="exact"/>
        <w:rPr>
          <w:sz w:val="20"/>
          <w:szCs w:val="20"/>
          <w:color w:val="auto"/>
        </w:rPr>
      </w:pPr>
    </w:p>
    <w:tbl>
      <w:tblPr>
        <w:tblLayout w:type="fixed"/>
        <w:tblInd w:w="1280" w:type="dxa"/>
        <w:tblCellMar>
          <w:top w:w="0" w:type="dxa"/>
          <w:left w:w="0" w:type="dxa"/>
          <w:bottom w:w="0" w:type="dxa"/>
          <w:right w:w="0" w:type="dxa"/>
        </w:tblCellMar>
      </w:tblPr>
      <w:tr>
        <w:trPr>
          <w:trHeight w:val="225"/>
        </w:trPr>
        <w:tc>
          <w:tcPr>
            <w:tcW w:w="34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2023</w:t>
            </w:r>
          </w:p>
        </w:tc>
        <w:tc>
          <w:tcPr>
            <w:tcW w:w="820" w:type="dxa"/>
            <w:vAlign w:val="bottom"/>
            <w:tcBorders>
              <w:bottom w:val="single" w:sz="8" w:color="auto"/>
            </w:tcBorders>
          </w:tcPr>
          <w:p>
            <w:pPr>
              <w:spacing w:after="0"/>
              <w:rPr>
                <w:sz w:val="19"/>
                <w:szCs w:val="19"/>
                <w:color w:val="auto"/>
              </w:rPr>
            </w:pP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Canadian federal tax benefit at statutory rates</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Canadian provincial income tax</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53.6 %</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r>
      <w:tr>
        <w:trPr>
          <w:trHeight w:val="21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foreign income tax, net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13.6 %</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Noncontrolling interest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176"/>
        </w:trPr>
        <w:tc>
          <w:tcPr>
            <w:tcW w:w="3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Unrealized intercompany foreign currency</w:t>
            </w: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21"/>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translation gain</w:t>
            </w: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8"/>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Deemed income from foreign subsidiaries</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r>
      <w:tr>
        <w:trPr>
          <w:trHeight w:val="21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net</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0"/>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Net income tax expense (benefit)</w:t>
            </w: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10,633</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26.3 %</w:t>
            </w:r>
          </w:p>
        </w:tc>
      </w:tr>
      <w:tr>
        <w:trPr>
          <w:trHeight w:val="20"/>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95" w:name="page96"/>
    <w:bookmarkEnd w:id="95"/>
    <w:p>
      <w:pPr>
        <w:ind w:right="100"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Deferred Tax Liabilities and Assets. </w:t>
      </w:r>
      <w:r>
        <w:rPr>
          <w:rFonts w:ascii="Times New Roman" w:cs="Times New Roman" w:eastAsia="Times New Roman" w:hAnsi="Times New Roman"/>
          <w:sz w:val="17"/>
          <w:szCs w:val="17"/>
          <w:color w:val="auto"/>
        </w:rPr>
        <w:t>The significant items giving rise to the deferred tax assets and liabilities as of December 31, 2025 and 2024 are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follows (in thousands):</w:t>
      </w:r>
    </w:p>
    <w:p>
      <w:pPr>
        <w:spacing w:after="0" w:line="91"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59,497</w:t>
            </w:r>
          </w:p>
        </w:tc>
        <w:tc>
          <w:tcPr>
            <w:tcW w:w="100" w:type="dxa"/>
            <w:vAlign w:val="bottom"/>
          </w:tcPr>
          <w:p>
            <w:pPr>
              <w:spacing w:after="0"/>
              <w:rPr>
                <w:sz w:val="18"/>
                <w:szCs w:val="18"/>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Employee benefits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Deductible goodwill and other intangibles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Land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reserves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losses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8"/>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0"/>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tax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8"/>
        </w:trPr>
        <w:tc>
          <w:tcPr>
            <w:tcW w:w="82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0"/>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tax assets, net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98"/>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8"/>
        </w:trPr>
        <w:tc>
          <w:tcPr>
            <w:tcW w:w="82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18"/>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8"/>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0"/>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10"/>
        </w:trPr>
        <w:tc>
          <w:tcPr>
            <w:tcW w:w="8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8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ind w:right="100" w:firstLine="461"/>
        <w:spacing w:after="0" w:line="284" w:lineRule="auto"/>
        <w:rPr>
          <w:sz w:val="20"/>
          <w:szCs w:val="20"/>
          <w:color w:val="auto"/>
        </w:rPr>
      </w:pPr>
      <w:r>
        <w:rPr>
          <w:rFonts w:ascii="Times New Roman" w:cs="Times New Roman" w:eastAsia="Times New Roman" w:hAnsi="Times New Roman"/>
          <w:sz w:val="17"/>
          <w:szCs w:val="17"/>
          <w:color w:val="auto"/>
        </w:rPr>
        <w:t>At December 31, 2025 and 2024, we had no undistributed earnings of foreign subsidiaries that would be subject to income tax upon distribution to Canada from a foreign subsidiary. As such, as of December 31, 2025 and 2024, we did not provide for deferred taxes on any such earnings of our foreign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NOL Carryforwards. </w:t>
      </w:r>
      <w:r>
        <w:rPr>
          <w:rFonts w:ascii="Times New Roman" w:cs="Times New Roman" w:eastAsia="Times New Roman" w:hAnsi="Times New Roman"/>
          <w:sz w:val="17"/>
          <w:szCs w:val="17"/>
          <w:color w:val="auto"/>
        </w:rPr>
        <w:t>The following summarizes net operating loss (NOL) carryforwards at December 31, 2025 (in thousands):</w:t>
      </w:r>
    </w:p>
    <w:p>
      <w:pPr>
        <w:spacing w:after="0" w:line="50"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7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6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Expiration Period</w:t>
            </w:r>
          </w:p>
        </w:tc>
      </w:tr>
      <w:tr>
        <w:trPr>
          <w:trHeight w:val="198"/>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r>
      <w:tr>
        <w:trPr>
          <w:trHeight w:val="218"/>
        </w:trPr>
        <w:tc>
          <w:tcPr>
            <w:tcW w:w="7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Canada – Federal and provincial</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162,674</w:t>
            </w: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Begins to expire in 2032</w:t>
            </w:r>
          </w:p>
        </w:tc>
      </w:tr>
      <w:tr>
        <w:trPr>
          <w:trHeight w:val="218"/>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 Federal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34,334</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Begins to expire in 2036</w:t>
            </w:r>
          </w:p>
        </w:tc>
      </w:tr>
      <w:tr>
        <w:trPr>
          <w:trHeight w:val="218"/>
        </w:trPr>
        <w:tc>
          <w:tcPr>
            <w:tcW w:w="7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 Federal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40,943</w:t>
            </w:r>
          </w:p>
        </w:tc>
        <w:tc>
          <w:tcPr>
            <w:tcW w:w="100" w:type="dxa"/>
            <w:vAlign w:val="bottom"/>
          </w:tcPr>
          <w:p>
            <w:pPr>
              <w:spacing w:after="0"/>
              <w:rPr>
                <w:sz w:val="18"/>
                <w:szCs w:val="18"/>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Does not expire</w:t>
            </w:r>
          </w:p>
        </w:tc>
      </w:tr>
      <w:tr>
        <w:trPr>
          <w:trHeight w:val="218"/>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 State, tax effected</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Began to expire in 2024</w:t>
            </w:r>
          </w:p>
        </w:tc>
      </w:tr>
    </w:tbl>
    <w:p>
      <w:pPr>
        <w:spacing w:after="0" w:line="272" w:lineRule="exact"/>
        <w:rPr>
          <w:sz w:val="20"/>
          <w:szCs w:val="20"/>
          <w:color w:val="auto"/>
        </w:rPr>
      </w:pPr>
    </w:p>
    <w:p>
      <w:pPr>
        <w:ind w:right="100" w:firstLine="46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 in Valuation Allowance. </w:t>
      </w:r>
      <w:r>
        <w:rPr>
          <w:rFonts w:ascii="Times New Roman" w:cs="Times New Roman" w:eastAsia="Times New Roman" w:hAnsi="Times New Roman"/>
          <w:sz w:val="17"/>
          <w:szCs w:val="17"/>
          <w:color w:val="auto"/>
        </w:rPr>
        <w:t>Realization of our deferred tax assets is dependent upon, among other things, our ability to generate taxable income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appropriate character in the future.</w:t>
      </w:r>
    </w:p>
    <w:p>
      <w:pPr>
        <w:spacing w:after="0" w:line="1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Changes in our valuation allowance for the years ended December 31, 2025 and 2024 are as follows (in thousands):</w:t>
      </w:r>
    </w:p>
    <w:p>
      <w:pPr>
        <w:spacing w:after="0" w:line="269" w:lineRule="exact"/>
        <w:rPr>
          <w:sz w:val="20"/>
          <w:szCs w:val="20"/>
          <w:color w:val="auto"/>
        </w:rPr>
      </w:pPr>
    </w:p>
    <w:tbl>
      <w:tblPr>
        <w:tblLayout w:type="fixed"/>
        <w:tblInd w:w="2200" w:type="dxa"/>
        <w:tblCellMar>
          <w:top w:w="0" w:type="dxa"/>
          <w:left w:w="0" w:type="dxa"/>
          <w:bottom w:w="0" w:type="dxa"/>
          <w:right w:w="0" w:type="dxa"/>
        </w:tblCellMar>
      </w:tblPr>
      <w:tr>
        <w:trPr>
          <w:trHeight w:val="218"/>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(78,769)</w:t>
            </w:r>
          </w:p>
        </w:tc>
      </w:tr>
      <w:tr>
        <w:trPr>
          <w:trHeight w:val="218"/>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income tax provision</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(8,983)</w:t>
            </w:r>
          </w:p>
        </w:tc>
      </w:tr>
      <w:tr>
        <w:trPr>
          <w:trHeight w:val="218"/>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change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r>
      <w:tr>
        <w:trPr>
          <w:trHeight w:val="218"/>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4,844</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(81,998)</w:t>
            </w:r>
          </w:p>
        </w:tc>
      </w:tr>
      <w:tr>
        <w:trPr>
          <w:trHeight w:val="218"/>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Change in income tax provision</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(10,642)</w:t>
            </w:r>
          </w:p>
        </w:tc>
      </w:tr>
      <w:tr>
        <w:trPr>
          <w:trHeight w:val="218"/>
        </w:trPr>
        <w:tc>
          <w:tcPr>
            <w:tcW w:w="6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change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r>
      <w:tr>
        <w:trPr>
          <w:trHeight w:val="218"/>
        </w:trPr>
        <w:tc>
          <w:tcPr>
            <w:tcW w:w="6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(4,390)</w:t>
            </w:r>
          </w:p>
        </w:tc>
      </w:tr>
      <w:tr>
        <w:trPr>
          <w:trHeight w:val="235"/>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2025</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(98,502)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47" w:right="239" w:bottom="1440" w:gutter="0" w:footer="0" w:header="0"/>
        </w:sectPr>
      </w:pPr>
    </w:p>
    <w:bookmarkStart w:id="96" w:name="page97"/>
    <w:bookmarkEnd w:id="96"/>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As of each reporting date, management considers new evidence, both positive and negative, that could affect our view of the future realization of deferred tax assets. As of December 31, 2025, management determined that there is not sufficient evidence to conclude that it is more likely than not that the Canadian and U.S. net deferred tax assets are realizable, therefore we have maintained the valuation allowance in both of these jurisdictions. As of December 31, 2025, management determined that there is not sufficient evidence to conclude that it is more likely than not that the Australia deferred tax assets related to certain capital assets are realizable, therefore we have maintained a partial valuation allowance in Australia.</w:t>
      </w:r>
    </w:p>
    <w:p>
      <w:pPr>
        <w:spacing w:after="0" w:line="194" w:lineRule="exact"/>
        <w:rPr>
          <w:sz w:val="20"/>
          <w:szCs w:val="20"/>
          <w:color w:val="auto"/>
        </w:rPr>
      </w:pPr>
    </w:p>
    <w:p>
      <w:pPr>
        <w:jc w:val="both"/>
        <w:ind w:firstLine="461"/>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Unrecognized Tax Benefits. </w:t>
      </w:r>
      <w:r>
        <w:rPr>
          <w:rFonts w:ascii="Times New Roman" w:cs="Times New Roman" w:eastAsia="Times New Roman" w:hAnsi="Times New Roman"/>
          <w:sz w:val="17"/>
          <w:szCs w:val="17"/>
          <w:color w:val="auto"/>
        </w:rPr>
        <w:t>We file tax returns in the jurisdictions in which they are required. All of these returns are subject to examination or audit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possible adjustment as a result of assessments by taxing authorities. We believe that we have recorded sufficient tax liabilities and do not expect the resolution of any examination or audit of our tax returns to have a material adverse effect on our operating results, financial condition or liquidity.</w:t>
      </w:r>
    </w:p>
    <w:p>
      <w:pPr>
        <w:spacing w:after="0" w:line="163"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Our Canadian federal tax returns subsequent to 2020 are subject to audit by the Canada Revenue Agency. Our Australian subsidiary’s federal income tax returns subsequent to 2020 are open for review by the Australian Taxation Office. Our U.S. subsidiary’s federal tax returns subsequent to 2021 are subject to audit by the U.S. Internal Revenue Service.</w:t>
      </w:r>
    </w:p>
    <w:p>
      <w:pPr>
        <w:spacing w:after="0" w:line="167"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The total amount of unrecognized tax benefits as of December 31, 2025, 2024 and 2023 was zero. Unrecognized tax benefits, if recognized, would affect the effective tax rate. We accrue interest and penalties, if applicable, related to unrecognized tax benefits as a component of our provision for income taxes. As of December 31, 2025, 2024 and 2023, we had accrued zero of interest expense and penalties.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24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96" w:lineRule="exact"/>
        <w:rPr>
          <w:sz w:val="20"/>
          <w:szCs w:val="20"/>
          <w:color w:val="auto"/>
        </w:rPr>
      </w:pPr>
    </w:p>
    <w:p>
      <w:pPr>
        <w:ind w:left="460" w:right="6640" w:hanging="458"/>
        <w:spacing w:after="0" w:line="536" w:lineRule="auto"/>
        <w:tabs>
          <w:tab w:leader="none" w:pos="345"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REPURCHASE PROGRAMS AND DIVIDENDS </w:t>
      </w:r>
      <w:r>
        <w:rPr>
          <w:rFonts w:ascii="Times New Roman" w:cs="Times New Roman" w:eastAsia="Times New Roman" w:hAnsi="Times New Roman"/>
          <w:sz w:val="17"/>
          <w:szCs w:val="17"/>
          <w:b w:val="1"/>
          <w:bCs w:val="1"/>
          <w:i w:val="1"/>
          <w:iCs w:val="1"/>
          <w:color w:val="auto"/>
        </w:rPr>
        <w:t>Share Repurchase Programs</w:t>
      </w:r>
    </w:p>
    <w:p>
      <w:pPr>
        <w:spacing w:after="0" w:line="2"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In 2024 and 2023, our Board authorized the repurchase of up to 5.0% of our total common shares which were issued and outstanding, or approximately 0.7 million and 0.7 million common shares, respectively, over a twelve-month period. In March 2025, our Board authorized an increase to the Share Repurchase Program to repurchase up to 10.0% of our total common shares which are issued and outstanding at that date, or approximately 1.4 million common shares, and in April 2025, our Board authorized a further increase to repurchase up to 20.0% of our total common shares which are issued and outstanding at that date, or approximately 2.7 million common shares.</w:t>
      </w:r>
    </w:p>
    <w:p>
      <w:pPr>
        <w:spacing w:after="0" w:line="200"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The repurchase authorization allows repurchases from time to time through a variety of methods, including but not limited to open market repurchases, pursuant to a Rule 10b5-1 compliant plan, or privately negotiated transactions. We have funded, and intend to continue to fund, repurchases through cash on hand, cash from debt incurrences and cash generated from operations. Any common shares repurchased are cancelled in the periods they are acquired and the payment is accounted for as an increase to accumulated deficit in our Consolidated Statements of Changes in Shareholders’ Equity in the period the payment is made.</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summarizes our common share repurchases pursuant to our share repurchase programs (in thousands, except per share data):</w:t>
      </w: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58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repurchased</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r>
      <w:tr>
        <w:trPr>
          <w:trHeight w:val="218"/>
        </w:trPr>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Average price paid per share</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23.19</w:t>
            </w:r>
          </w:p>
        </w:tc>
        <w:tc>
          <w:tcPr>
            <w:tcW w:w="14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26.19</w:t>
            </w:r>
          </w:p>
        </w:tc>
        <w:tc>
          <w:tcPr>
            <w:tcW w:w="14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w:t>
            </w:r>
          </w:p>
        </w:tc>
      </w:tr>
      <w:tr>
        <w:trPr>
          <w:trHeight w:val="218"/>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Dollar-value of shares repurchased</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53,612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29,616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97" w:name="page98"/>
    <w:bookmarkEnd w:id="97"/>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46" w:lineRule="exact"/>
        <w:rPr>
          <w:sz w:val="20"/>
          <w:szCs w:val="20"/>
          <w:color w:val="auto"/>
        </w:rPr>
      </w:pPr>
    </w:p>
    <w:p>
      <w:pPr>
        <w:jc w:val="both"/>
        <w:ind w:firstLine="461"/>
        <w:spacing w:after="0" w:line="277" w:lineRule="auto"/>
        <w:rPr>
          <w:sz w:val="20"/>
          <w:szCs w:val="20"/>
          <w:color w:val="auto"/>
        </w:rPr>
      </w:pPr>
      <w:r>
        <w:rPr>
          <w:rFonts w:ascii="Times New Roman" w:cs="Times New Roman" w:eastAsia="Times New Roman" w:hAnsi="Times New Roman"/>
          <w:sz w:val="17"/>
          <w:szCs w:val="17"/>
          <w:color w:val="auto"/>
        </w:rPr>
        <w:t>Our Board declared the following quarterly dividends in 2025, 2024 and 2023. The dividends are eligible dividends pursuant to the Income Tax Act (Canada). In April 2025, our Board suspended quarterly dividends on our common shares to prioritize returning capital to our shareholders through ongoing share repurchases.</w:t>
      </w:r>
    </w:p>
    <w:p>
      <w:pPr>
        <w:spacing w:after="0" w:line="200" w:lineRule="exact"/>
        <w:rPr>
          <w:sz w:val="20"/>
          <w:szCs w:val="20"/>
          <w:color w:val="auto"/>
        </w:rPr>
      </w:pPr>
    </w:p>
    <w:p>
      <w:pPr>
        <w:spacing w:after="0" w:line="233" w:lineRule="exact"/>
        <w:rPr>
          <w:sz w:val="20"/>
          <w:szCs w:val="20"/>
          <w:color w:val="auto"/>
        </w:rPr>
      </w:pPr>
    </w:p>
    <w:tbl>
      <w:tblPr>
        <w:tblLayout w:type="fixed"/>
        <w:tblInd w:w="1860" w:type="dxa"/>
        <w:tblCellMar>
          <w:top w:w="0" w:type="dxa"/>
          <w:left w:w="0" w:type="dxa"/>
          <w:bottom w:w="0" w:type="dxa"/>
          <w:right w:w="0" w:type="dxa"/>
        </w:tblCellMar>
      </w:tblPr>
      <w:tr>
        <w:trPr>
          <w:trHeight w:val="206"/>
        </w:trPr>
        <w:tc>
          <w:tcPr>
            <w:tcW w:w="180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Date Declared</w:t>
            </w:r>
          </w:p>
        </w:tc>
        <w:tc>
          <w:tcPr>
            <w:tcW w:w="2100" w:type="dxa"/>
            <w:vAlign w:val="bottom"/>
          </w:tcPr>
          <w:p>
            <w:pPr>
              <w:ind w:left="94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2140" w:type="dxa"/>
            <w:vAlign w:val="bottom"/>
          </w:tcPr>
          <w:p>
            <w:pPr>
              <w:ind w:left="900"/>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440" w:type="dxa"/>
            <w:vAlign w:val="bottom"/>
          </w:tcPr>
          <w:p>
            <w:pPr>
              <w:spacing w:after="0"/>
              <w:rPr>
                <w:sz w:val="17"/>
                <w:szCs w:val="17"/>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Per Share Amount</w:t>
            </w:r>
          </w:p>
        </w:tc>
      </w:tr>
      <w:tr>
        <w:trPr>
          <w:trHeight w:val="220"/>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31, 2025</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February 24, 2025</w:t>
            </w:r>
          </w:p>
        </w:tc>
        <w:tc>
          <w:tcPr>
            <w:tcW w:w="2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March 17, 2025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154"/>
        </w:trPr>
        <w:tc>
          <w:tcPr>
            <w:tcW w:w="1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18"/>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 30, 2024</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November 25, 2024</w:t>
            </w:r>
          </w:p>
        </w:tc>
        <w:tc>
          <w:tcPr>
            <w:tcW w:w="2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16,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18"/>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July 30, 2024</w:t>
            </w:r>
          </w:p>
        </w:tc>
        <w:tc>
          <w:tcPr>
            <w:tcW w:w="2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August 26, 2024</w:t>
            </w:r>
          </w:p>
        </w:tc>
        <w:tc>
          <w:tcPr>
            <w:tcW w:w="2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September 16,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18"/>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26, 2024</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May 27, 2024</w:t>
            </w:r>
          </w:p>
        </w:tc>
        <w:tc>
          <w:tcPr>
            <w:tcW w:w="2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June 17,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18"/>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February 2, 2024</w:t>
            </w:r>
          </w:p>
        </w:tc>
        <w:tc>
          <w:tcPr>
            <w:tcW w:w="2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February 26, 2024</w:t>
            </w:r>
          </w:p>
        </w:tc>
        <w:tc>
          <w:tcPr>
            <w:tcW w:w="2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March 18,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154"/>
        </w:trPr>
        <w:tc>
          <w:tcPr>
            <w:tcW w:w="18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218"/>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October 27, 2023</w:t>
            </w:r>
          </w:p>
        </w:tc>
        <w:tc>
          <w:tcPr>
            <w:tcW w:w="21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November 27, 2023</w:t>
            </w:r>
          </w:p>
        </w:tc>
        <w:tc>
          <w:tcPr>
            <w:tcW w:w="2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18,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r>
      <w:tr>
        <w:trPr>
          <w:trHeight w:val="218"/>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5, 2023</w:t>
            </w:r>
          </w:p>
        </w:tc>
        <w:tc>
          <w:tcPr>
            <w:tcW w:w="2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September 15, 2023</w:t>
            </w:r>
          </w:p>
        </w:tc>
        <w:tc>
          <w:tcPr>
            <w:tcW w:w="2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September 29, 2023</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0.25</w:t>
            </w: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ACCUMULATED OTHER COMPREHENSIVE LOSS</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Our accumulated other comprehensive loss decreased $13.8 million from $404.6 million at December 31, 2024 to $390.8 million at December 31, 2025, as a result of foreign currency exchange rate fluctuations. Changes in other comprehensive loss during 2025 were primarily driven by the Australian dollar and Canadian dollar increasing in value compared to the U.S. dollar. Excluding intercompany balances, our Canadian dollar and Australian dollar functional currency net assets totaled approximately C$9 million and A$245 million, respectively, at December 31,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SHARE-BASED COMPENSATION</w:t>
      </w:r>
    </w:p>
    <w:p>
      <w:pPr>
        <w:spacing w:after="0" w:line="244"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and grant awards of options, awards of share appreciation rights, awards of restricted shares, performance share awards, phantom share units and dividend equivalents, awards of deferred shares, and share payments to our employees and non-employee directors. Approximately 3.0 million Civeo common shares are authorized to be issued under the Civeo Plan.</w:t>
      </w:r>
    </w:p>
    <w:p>
      <w:pPr>
        <w:spacing w:after="0" w:line="171" w:lineRule="exact"/>
        <w:rPr>
          <w:sz w:val="20"/>
          <w:szCs w:val="20"/>
          <w:color w:val="auto"/>
        </w:rPr>
      </w:pPr>
    </w:p>
    <w:p>
      <w:pPr>
        <w:jc w:val="both"/>
        <w:ind w:firstLine="461"/>
        <w:spacing w:after="0" w:line="262" w:lineRule="auto"/>
        <w:rPr>
          <w:sz w:val="20"/>
          <w:szCs w:val="20"/>
          <w:color w:val="auto"/>
        </w:rPr>
      </w:pPr>
      <w:r>
        <w:rPr>
          <w:rFonts w:ascii="Times New Roman" w:cs="Times New Roman" w:eastAsia="Times New Roman" w:hAnsi="Times New Roman"/>
          <w:sz w:val="17"/>
          <w:szCs w:val="17"/>
          <w:color w:val="auto"/>
        </w:rPr>
        <w:t>Share-based compensation expense recognized in the years ended December 31, 2025, 2024 and 2023 totaled $9.4 million, $9.2 million and $11.8 million, respectively. Share-based compensation expense is reflected in Selling, general and administrative expense in our consolidated statements of operations. The total income tax benefit recognized in the consolidated statements of operations for share-based compensation arrangements was approximately $0.5 million, $0.5 million and $0.6 million for the years ended December 31, 2025, 2024 and 2023,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Phantom Share Units</w:t>
      </w:r>
    </w:p>
    <w:p>
      <w:pPr>
        <w:spacing w:after="0" w:line="220"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grant phantom share unit awards, which vest a third per year over a three-year period. Each phantom share unit is equal in value to one common share. Upon vesting, each recipient will receive a lump sum cash payment equal to the fair market value of a common share on the respective vesting date in respect of each phantom share unit then vesting. These awards are accounted for as a liability that is remeasured at each reporting date until paid.</w:t>
      </w:r>
    </w:p>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presents the changes in phantom share unit awards outstanding and related information for our employees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195"/>
        </w:trPr>
        <w:tc>
          <w:tcPr>
            <w:tcW w:w="9800" w:type="dxa"/>
            <w:vAlign w:val="bottom"/>
          </w:tcPr>
          <w:p>
            <w:pPr>
              <w:spacing w:after="0"/>
              <w:rPr>
                <w:sz w:val="17"/>
                <w:szCs w:val="17"/>
                <w:color w:val="auto"/>
              </w:rPr>
            </w:pPr>
          </w:p>
        </w:tc>
        <w:tc>
          <w:tcPr>
            <w:tcW w:w="142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Number of</w:t>
            </w:r>
          </w:p>
        </w:tc>
      </w:tr>
      <w:tr>
        <w:trPr>
          <w:trHeight w:val="228"/>
        </w:trPr>
        <w:tc>
          <w:tcPr>
            <w:tcW w:w="98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Awards</w:t>
            </w:r>
          </w:p>
        </w:tc>
      </w:tr>
      <w:tr>
        <w:trPr>
          <w:trHeight w:val="21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659,288</w:t>
            </w:r>
          </w:p>
        </w:tc>
      </w:tr>
      <w:tr>
        <w:trPr>
          <w:trHeight w:val="218"/>
        </w:trPr>
        <w:tc>
          <w:tcPr>
            <w:tcW w:w="9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229,845</w:t>
            </w:r>
          </w:p>
        </w:tc>
      </w:tr>
      <w:tr>
        <w:trPr>
          <w:trHeight w:val="218"/>
        </w:trPr>
        <w:tc>
          <w:tcPr>
            <w:tcW w:w="9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(335,178)</w:t>
            </w:r>
          </w:p>
        </w:tc>
      </w:tr>
      <w:tr>
        <w:trPr>
          <w:trHeight w:val="218"/>
        </w:trPr>
        <w:tc>
          <w:tcPr>
            <w:tcW w:w="9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(33,394)</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520,561</w:t>
            </w:r>
          </w:p>
        </w:tc>
      </w:tr>
      <w:tr>
        <w:trPr>
          <w:trHeight w:val="218"/>
        </w:trPr>
        <w:tc>
          <w:tcPr>
            <w:tcW w:w="9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314,260</w:t>
            </w:r>
          </w:p>
        </w:tc>
      </w:tr>
      <w:tr>
        <w:trPr>
          <w:trHeight w:val="218"/>
        </w:trPr>
        <w:tc>
          <w:tcPr>
            <w:tcW w:w="9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(274,838)</w:t>
            </w:r>
          </w:p>
        </w:tc>
      </w:tr>
      <w:tr>
        <w:trPr>
          <w:trHeight w:val="218"/>
        </w:trPr>
        <w:tc>
          <w:tcPr>
            <w:tcW w:w="9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(50,222)</w:t>
            </w:r>
          </w:p>
        </w:tc>
      </w:tr>
      <w:tr>
        <w:trPr>
          <w:trHeight w:val="21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509,761</w:t>
            </w:r>
          </w:p>
        </w:tc>
      </w:tr>
      <w:tr>
        <w:trPr>
          <w:trHeight w:val="218"/>
        </w:trPr>
        <w:tc>
          <w:tcPr>
            <w:tcW w:w="9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229,155</w:t>
            </w:r>
          </w:p>
        </w:tc>
      </w:tr>
      <w:tr>
        <w:trPr>
          <w:trHeight w:val="218"/>
        </w:trPr>
        <w:tc>
          <w:tcPr>
            <w:tcW w:w="9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(253,352)</w:t>
            </w:r>
          </w:p>
        </w:tc>
      </w:tr>
      <w:tr>
        <w:trPr>
          <w:trHeight w:val="218"/>
        </w:trPr>
        <w:tc>
          <w:tcPr>
            <w:tcW w:w="98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(9,721)</w:t>
            </w:r>
          </w:p>
        </w:tc>
      </w:tr>
      <w:tr>
        <w:trPr>
          <w:trHeight w:val="235"/>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475,843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At December 31, 2025, the balance of the liability for the phantom share units was $5.0 million. For the years ended December 31, 2025, 2024 and 2023, we made phantom share units cash payments of $6.3 million, $6.2 million and $10.4 million, respectively. At December 31, 2025, unrecognized compensation cost related to phantom share units was $6.4 million, as remeasured at December 31, 2025, which is expected to be recognized over a weighted average period of 1.7 years. The weighted average grant-date fair value per share of phantom share units granted during the years ended December 31, 2025, 2024 and 2023 was $21.18, $23.75 and $31.05,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220" w:lineRule="exact"/>
        <w:rPr>
          <w:sz w:val="20"/>
          <w:szCs w:val="20"/>
          <w:color w:val="auto"/>
        </w:rPr>
      </w:pPr>
    </w:p>
    <w:p>
      <w:pPr>
        <w:jc w:val="both"/>
        <w:ind w:firstLine="461"/>
        <w:spacing w:after="0" w:line="255" w:lineRule="auto"/>
        <w:rPr>
          <w:sz w:val="20"/>
          <w:szCs w:val="20"/>
          <w:color w:val="auto"/>
        </w:rPr>
      </w:pPr>
      <w:r>
        <w:rPr>
          <w:rFonts w:ascii="Times New Roman" w:cs="Times New Roman" w:eastAsia="Times New Roman" w:hAnsi="Times New Roman"/>
          <w:sz w:val="17"/>
          <w:szCs w:val="17"/>
          <w:color w:val="auto"/>
        </w:rPr>
        <w:t>We grant performance share awards, which cliff vest after three years subject to attainment of applicable performance goals. Awards granted in 2025 and 2024 will be earned in amounts between 0% and 200% of the participant’s target performance share award, based on the payout percentage associated with Civeo’s relative TSR rank among a peer group of other companies and the payout percentage associated with Civeo's three-year growth in EBITDA over the performance period relative to a preset 2027 and 2026 EBITDA target. Awards granted in 2023 will be earned in amounts between 0% and 200% of the participant’s target performance share award, based equally on the payout percentage associated with Civeo’s relative TSR rank among a peer group of other companies and the payout percentage associated with Civeo's cumulative operating cash flow over the performance period relative to a preset target. The grant-date fair value of the portion of the performance awards tied to 2027 and 2026 EBITDA and cumulative operating cash flow is based on target achievement and the closing market price of our common shares on the date of grant. We evaluate the probability of achieving the performance goals throughout the performance period and will adjust share-based compensation expense based on the number of shares expected to vest based on our estimate of the most probable performance outcome. No share-based compensation expense is recognized if the performance criteria are not probable of being achieved.</w:t>
      </w:r>
    </w:p>
    <w:p>
      <w:pPr>
        <w:spacing w:after="0" w:line="202"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fair value of the TSR portion of each performance share award was estimated using a Monte Carlo simulation pricing model that uses the assumptions noted in the following table. The risk-free interest rate is based on the U.S. Treasury yield curve in effect for the expected term of the performance share at the time of grant. The dividend yield on our common shares in 2025 and 2024 is based on the annual dividend and our valuation date stock price. In April 2025, our Board suspended quarterly dividends after the 2025 awards were granted. The dividend yield on our common shares was assumed to be zero for 2023 since we did not pay dividends when the awards were granted. The expected market price volatility of our common shares was based on an estimate that considers the historical and implied volatility of our common shares as well as a peer group of companies over a time period equal to the expected term of the award. The initial TSR performance was based on historical performance of our common shares and the peer group’s common shares.</w:t>
      </w:r>
    </w:p>
    <w:p>
      <w:pPr>
        <w:spacing w:after="0" w:line="240" w:lineRule="exact"/>
        <w:rPr>
          <w:sz w:val="20"/>
          <w:szCs w:val="20"/>
          <w:color w:val="auto"/>
        </w:rPr>
      </w:pPr>
    </w:p>
    <w:tbl>
      <w:tblPr>
        <w:tblLayout w:type="fixed"/>
        <w:tblInd w:w="780" w:type="dxa"/>
        <w:tblCellMar>
          <w:top w:w="0" w:type="dxa"/>
          <w:left w:w="0" w:type="dxa"/>
          <w:bottom w:w="0" w:type="dxa"/>
          <w:right w:w="0" w:type="dxa"/>
        </w:tblCellMar>
      </w:tblPr>
      <w:tr>
        <w:trPr>
          <w:trHeight w:val="225"/>
        </w:trPr>
        <w:tc>
          <w:tcPr>
            <w:tcW w:w="61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weighted interest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r>
      <w:tr>
        <w:trPr>
          <w:trHeight w:val="21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44.0 %</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73.0 %</w:t>
            </w:r>
          </w:p>
        </w:tc>
      </w:tr>
      <w:tr>
        <w:trPr>
          <w:trHeight w:val="222"/>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Initial TSR</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4.1 %</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7"/>
          <w:szCs w:val="17"/>
          <w:color w:val="auto"/>
        </w:rPr>
        <w:t>The following presents the changes in performance share awards outstanding and related information for our employees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2024 and 2023:</w:t>
      </w:r>
    </w:p>
    <w:p>
      <w:pPr>
        <w:spacing w:after="0" w:line="5"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8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2"/>
        </w:trPr>
        <w:tc>
          <w:tcPr>
            <w:tcW w:w="8280" w:type="dxa"/>
            <w:vAlign w:val="bottom"/>
          </w:tcPr>
          <w:p>
            <w:pPr>
              <w:spacing w:after="0"/>
              <w:rPr>
                <w:sz w:val="14"/>
                <w:szCs w:val="14"/>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20" w:type="dxa"/>
            <w:vAlign w:val="bottom"/>
          </w:tcPr>
          <w:p>
            <w:pPr>
              <w:spacing w:after="0"/>
              <w:rPr>
                <w:sz w:val="14"/>
                <w:szCs w:val="14"/>
                <w:color w:val="auto"/>
              </w:rPr>
            </w:pPr>
          </w:p>
        </w:tc>
        <w:tc>
          <w:tcPr>
            <w:tcW w:w="96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b w:val="1"/>
                <w:bCs w:val="1"/>
                <w:color w:val="auto"/>
              </w:rPr>
              <w:t>Average Gra</w:t>
            </w:r>
          </w:p>
        </w:tc>
        <w:tc>
          <w:tcPr>
            <w:tcW w:w="0" w:type="dxa"/>
            <w:vAlign w:val="bottom"/>
          </w:tcPr>
          <w:p>
            <w:pPr>
              <w:spacing w:after="0"/>
              <w:rPr>
                <w:sz w:val="1"/>
                <w:szCs w:val="1"/>
                <w:color w:val="auto"/>
              </w:rPr>
            </w:pPr>
          </w:p>
        </w:tc>
      </w:tr>
      <w:tr>
        <w:trPr>
          <w:trHeight w:val="174"/>
        </w:trPr>
        <w:tc>
          <w:tcPr>
            <w:tcW w:w="828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74" w:lineRule="exact"/>
              <w:rPr>
                <w:sz w:val="20"/>
                <w:szCs w:val="20"/>
                <w:color w:val="auto"/>
              </w:rPr>
            </w:pPr>
            <w:r>
              <w:rPr>
                <w:rFonts w:ascii="Times New Roman" w:cs="Times New Roman" w:eastAsia="Times New Roman" w:hAnsi="Times New Roman"/>
                <w:sz w:val="17"/>
                <w:szCs w:val="17"/>
                <w:b w:val="1"/>
                <w:bCs w:val="1"/>
                <w:color w:val="auto"/>
                <w:w w:val="97"/>
              </w:rPr>
              <w:t>Date Fair Va</w:t>
            </w:r>
          </w:p>
        </w:tc>
        <w:tc>
          <w:tcPr>
            <w:tcW w:w="0" w:type="dxa"/>
            <w:vAlign w:val="bottom"/>
          </w:tcPr>
          <w:p>
            <w:pPr>
              <w:spacing w:after="0"/>
              <w:rPr>
                <w:sz w:val="1"/>
                <w:szCs w:val="1"/>
                <w:color w:val="auto"/>
              </w:rPr>
            </w:pPr>
          </w:p>
        </w:tc>
      </w:tr>
      <w:tr>
        <w:trPr>
          <w:trHeight w:val="218"/>
        </w:trPr>
        <w:tc>
          <w:tcPr>
            <w:tcW w:w="828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2"/>
                <w:szCs w:val="22"/>
                <w:color w:val="auto"/>
                <w:vertAlign w:val="superscript"/>
              </w:rPr>
              <w:t>(1)</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(1)</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332,001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2"/>
                <w:szCs w:val="22"/>
                <w:color w:val="auto"/>
                <w:vertAlign w:val="superscript"/>
              </w:rPr>
              <w:t>(2)</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(41,599)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189,124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2"/>
                <w:szCs w:val="22"/>
                <w:color w:val="auto"/>
                <w:vertAlign w:val="superscript"/>
              </w:rPr>
              <w:t>(3)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line="218" w:lineRule="exact"/>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(3)</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372,691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00" w:hanging="298"/>
        <w:spacing w:after="0"/>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No performance share awards vested in 2023.</w:t>
      </w:r>
    </w:p>
    <w:p>
      <w:pPr>
        <w:ind w:left="300" w:hanging="298"/>
        <w:spacing w:after="0" w:line="193" w:lineRule="auto"/>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Related to 2021 performance share awards that vested in 2024, which were paid out at 97%.</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3" w:lineRule="auto"/>
        <w:tabs>
          <w:tab w:leader="none" w:pos="30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Related to 2022 performance share awards that vested in 2025, which were paid out at 65%.</w:t>
      </w:r>
    </w:p>
    <w:p>
      <w:pPr>
        <w:spacing w:after="0" w:line="214" w:lineRule="exact"/>
        <w:rPr>
          <w:sz w:val="20"/>
          <w:szCs w:val="20"/>
          <w:color w:val="auto"/>
        </w:rPr>
      </w:pPr>
    </w:p>
    <w:p>
      <w:pPr>
        <w:jc w:val="both"/>
        <w:ind w:right="100" w:firstLine="461"/>
        <w:spacing w:after="0" w:line="267" w:lineRule="auto"/>
        <w:rPr>
          <w:sz w:val="20"/>
          <w:szCs w:val="20"/>
          <w:color w:val="auto"/>
        </w:rPr>
      </w:pPr>
      <w:r>
        <w:rPr>
          <w:rFonts w:ascii="Times New Roman" w:cs="Times New Roman" w:eastAsia="Times New Roman" w:hAnsi="Times New Roman"/>
          <w:sz w:val="17"/>
          <w:szCs w:val="17"/>
          <w:color w:val="auto"/>
        </w:rPr>
        <w:t>During the years ended December 31, 2025, 2024 and 2023, we recognized compensation expense associated with performance share awards totaling $2.0 million, $1.8 million and $3.4 million, respectively. At December 31, 2025, unrecognized compensation cost related to performance share awards was $2.7 million, which is expected to be recognized over a weighted average period of 1.9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 Awards/ Deferred Share Awards</w:t>
      </w:r>
    </w:p>
    <w:p>
      <w:pPr>
        <w:spacing w:after="0" w:line="220" w:lineRule="exact"/>
        <w:rPr>
          <w:sz w:val="20"/>
          <w:szCs w:val="20"/>
          <w:color w:val="auto"/>
        </w:rPr>
      </w:pPr>
    </w:p>
    <w:p>
      <w:pPr>
        <w:jc w:val="both"/>
        <w:ind w:right="100" w:firstLine="461"/>
        <w:spacing w:after="0" w:line="272" w:lineRule="auto"/>
        <w:rPr>
          <w:sz w:val="20"/>
          <w:szCs w:val="20"/>
          <w:color w:val="auto"/>
        </w:rPr>
      </w:pPr>
      <w:r>
        <w:rPr>
          <w:rFonts w:ascii="Times New Roman" w:cs="Times New Roman" w:eastAsia="Times New Roman" w:hAnsi="Times New Roman"/>
          <w:sz w:val="17"/>
          <w:szCs w:val="17"/>
          <w:color w:val="auto"/>
        </w:rPr>
        <w:t>The following presents the changes in restricted share awards and deferred share awards outstanding and related information for our non-employee directors during the years ended December 31, 2025, 2024 and 2023:</w:t>
      </w:r>
    </w:p>
    <w:tbl>
      <w:tblPr>
        <w:tblLayout w:type="fixed"/>
        <w:tblInd w:w="46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66"/>
        </w:trPr>
        <w:tc>
          <w:tcPr>
            <w:tcW w:w="828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Average Gra</w:t>
            </w:r>
          </w:p>
        </w:tc>
        <w:tc>
          <w:tcPr>
            <w:tcW w:w="0" w:type="dxa"/>
            <w:vAlign w:val="bottom"/>
          </w:tcPr>
          <w:p>
            <w:pPr>
              <w:spacing w:after="0"/>
              <w:rPr>
                <w:sz w:val="1"/>
                <w:szCs w:val="1"/>
                <w:color w:val="auto"/>
              </w:rPr>
            </w:pPr>
          </w:p>
        </w:tc>
      </w:tr>
      <w:tr>
        <w:trPr>
          <w:trHeight w:val="166"/>
        </w:trPr>
        <w:tc>
          <w:tcPr>
            <w:tcW w:w="82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w w:val="97"/>
              </w:rPr>
              <w:t>Date Fair Va</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Awards/Units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2022</w:t>
            </w:r>
          </w:p>
        </w:tc>
        <w:tc>
          <w:tcPr>
            <w:tcW w:w="142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w w:val="98"/>
              </w:rPr>
              <w:t>39,032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center"/>
              <w:ind w:left="715"/>
              <w:spacing w:after="0"/>
              <w:rPr>
                <w:sz w:val="20"/>
                <w:szCs w:val="20"/>
                <w:color w:val="auto"/>
              </w:rPr>
            </w:pPr>
            <w:r>
              <w:rPr>
                <w:rFonts w:ascii="Times New Roman" w:cs="Times New Roman" w:eastAsia="Times New Roman" w:hAnsi="Times New Roman"/>
                <w:sz w:val="17"/>
                <w:szCs w:val="17"/>
                <w:color w:val="auto"/>
                <w:w w:val="98"/>
              </w:rPr>
              <w:t>50,336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rPr>
              <w:t>(39,770)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2023</w:t>
            </w:r>
          </w:p>
        </w:tc>
        <w:tc>
          <w:tcPr>
            <w:tcW w:w="1420" w:type="dxa"/>
            <w:vAlign w:val="bottom"/>
          </w:tcPr>
          <w:p>
            <w:pPr>
              <w:jc w:val="center"/>
              <w:ind w:left="715"/>
              <w:spacing w:after="0"/>
              <w:rPr>
                <w:sz w:val="20"/>
                <w:szCs w:val="20"/>
                <w:color w:val="auto"/>
              </w:rPr>
            </w:pPr>
            <w:r>
              <w:rPr>
                <w:rFonts w:ascii="Times New Roman" w:cs="Times New Roman" w:eastAsia="Times New Roman" w:hAnsi="Times New Roman"/>
                <w:sz w:val="17"/>
                <w:szCs w:val="17"/>
                <w:color w:val="auto"/>
                <w:w w:val="98"/>
              </w:rPr>
              <w:t>49,598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w w:val="98"/>
              </w:rPr>
              <w:t>42,125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tcBorders>
              <w:bottom w:val="single" w:sz="8" w:color="auto"/>
            </w:tcBorders>
          </w:tcPr>
          <w:p>
            <w:pPr>
              <w:jc w:val="center"/>
              <w:ind w:left="695"/>
              <w:spacing w:after="0"/>
              <w:rPr>
                <w:sz w:val="20"/>
                <w:szCs w:val="20"/>
                <w:color w:val="auto"/>
              </w:rPr>
            </w:pPr>
            <w:r>
              <w:rPr>
                <w:rFonts w:ascii="Times New Roman" w:cs="Times New Roman" w:eastAsia="Times New Roman" w:hAnsi="Times New Roman"/>
                <w:sz w:val="17"/>
                <w:szCs w:val="17"/>
                <w:color w:val="auto"/>
              </w:rPr>
              <w:t>(49,598)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2024</w:t>
            </w:r>
          </w:p>
        </w:tc>
        <w:tc>
          <w:tcPr>
            <w:tcW w:w="1420" w:type="dxa"/>
            <w:vAlign w:val="bottom"/>
            <w:shd w:val="clear" w:color="auto" w:fill="CCEEFF"/>
          </w:tcPr>
          <w:p>
            <w:pPr>
              <w:jc w:val="center"/>
              <w:ind w:left="715"/>
              <w:spacing w:after="0"/>
              <w:rPr>
                <w:sz w:val="20"/>
                <w:szCs w:val="20"/>
                <w:color w:val="auto"/>
              </w:rPr>
            </w:pPr>
            <w:r>
              <w:rPr>
                <w:rFonts w:ascii="Times New Roman" w:cs="Times New Roman" w:eastAsia="Times New Roman" w:hAnsi="Times New Roman"/>
                <w:sz w:val="17"/>
                <w:szCs w:val="17"/>
                <w:color w:val="auto"/>
                <w:w w:val="98"/>
              </w:rPr>
              <w:t>42,125</w:t>
            </w:r>
          </w:p>
        </w:tc>
        <w:tc>
          <w:tcPr>
            <w:tcW w:w="10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420" w:type="dxa"/>
            <w:vAlign w:val="bottom"/>
          </w:tcPr>
          <w:p>
            <w:pPr>
              <w:jc w:val="center"/>
              <w:ind w:left="715"/>
              <w:spacing w:after="0"/>
              <w:rPr>
                <w:sz w:val="20"/>
                <w:szCs w:val="20"/>
                <w:color w:val="auto"/>
              </w:rPr>
            </w:pPr>
            <w:r>
              <w:rPr>
                <w:rFonts w:ascii="Times New Roman" w:cs="Times New Roman" w:eastAsia="Times New Roman" w:hAnsi="Times New Roman"/>
                <w:sz w:val="17"/>
                <w:szCs w:val="17"/>
                <w:color w:val="auto"/>
                <w:w w:val="98"/>
              </w:rPr>
              <w:t>61,451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Vested</w:t>
            </w:r>
          </w:p>
        </w:tc>
        <w:tc>
          <w:tcPr>
            <w:tcW w:w="1420" w:type="dxa"/>
            <w:vAlign w:val="bottom"/>
            <w:tcBorders>
              <w:bottom w:val="single" w:sz="8" w:color="auto"/>
            </w:tcBorders>
            <w:shd w:val="clear" w:color="auto" w:fill="CCEEFF"/>
          </w:tcPr>
          <w:p>
            <w:pPr>
              <w:jc w:val="center"/>
              <w:ind w:left="695"/>
              <w:spacing w:after="0"/>
              <w:rPr>
                <w:sz w:val="20"/>
                <w:szCs w:val="20"/>
                <w:color w:val="auto"/>
              </w:rPr>
            </w:pPr>
            <w:r>
              <w:rPr>
                <w:rFonts w:ascii="Times New Roman" w:cs="Times New Roman" w:eastAsia="Times New Roman" w:hAnsi="Times New Roman"/>
                <w:sz w:val="17"/>
                <w:szCs w:val="17"/>
                <w:color w:val="auto"/>
              </w:rPr>
              <w:t>(42,125)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shares at December 31, 2025</w:t>
            </w:r>
          </w:p>
        </w:tc>
        <w:tc>
          <w:tcPr>
            <w:tcW w:w="1420" w:type="dxa"/>
            <w:vAlign w:val="bottom"/>
            <w:tcBorders>
              <w:bottom w:val="single" w:sz="8" w:color="auto"/>
            </w:tcBorders>
          </w:tcPr>
          <w:p>
            <w:pPr>
              <w:jc w:val="center"/>
              <w:ind w:left="715"/>
              <w:spacing w:after="0"/>
              <w:rPr>
                <w:sz w:val="20"/>
                <w:szCs w:val="20"/>
                <w:color w:val="auto"/>
              </w:rPr>
            </w:pPr>
            <w:r>
              <w:rPr>
                <w:rFonts w:ascii="Times New Roman" w:cs="Times New Roman" w:eastAsia="Times New Roman" w:hAnsi="Times New Roman"/>
                <w:sz w:val="17"/>
                <w:szCs w:val="17"/>
                <w:color w:val="auto"/>
                <w:w w:val="98"/>
              </w:rPr>
              <w:t>61,451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100" w:name="page101"/>
    <w:bookmarkEnd w:id="100"/>
    <w:p>
      <w:pPr>
        <w:jc w:val="both"/>
        <w:ind w:right="100" w:firstLine="461"/>
        <w:spacing w:after="0" w:line="262" w:lineRule="auto"/>
        <w:rPr>
          <w:sz w:val="20"/>
          <w:szCs w:val="20"/>
          <w:color w:val="auto"/>
        </w:rPr>
      </w:pPr>
      <w:r>
        <w:rPr>
          <w:rFonts w:ascii="Times New Roman" w:cs="Times New Roman" w:eastAsia="Times New Roman" w:hAnsi="Times New Roman"/>
          <w:sz w:val="17"/>
          <w:szCs w:val="17"/>
          <w:color w:val="auto"/>
        </w:rPr>
        <w:t>The weighted average grant-date fair value per share for restricted share awards and deferred share awards granted during 2025, 2024 and 2023 was $21.03, $24.75 and $21.02, respectively. The total fair value of restricted share awards and deferred share awards vested during 2025, 2024 and 2023 was $0.9 million, $1.2 million and $0.9 million, respectively. At December 31, 2025, unrecognized compensation cost related to restricted share awards and deferred share awards was $0.6 million, which is expected to be recognized over a weighted average period of 0.4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SUPPLEMENTAL CASH FLOW INFORMATION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Cash paid during the years ended December 31, 2025, 2024 and 2023 for interest and income taxes was as follows (in thousands):</w:t>
      </w:r>
    </w:p>
    <w:p>
      <w:pPr>
        <w:spacing w:after="0" w:line="274" w:lineRule="exact"/>
        <w:rPr>
          <w:sz w:val="20"/>
          <w:szCs w:val="20"/>
          <w:color w:val="auto"/>
        </w:rPr>
      </w:pPr>
    </w:p>
    <w:tbl>
      <w:tblPr>
        <w:tblLayout w:type="fixed"/>
        <w:tblInd w:w="460" w:type="dxa"/>
        <w:tblCellMar>
          <w:top w:w="0" w:type="dxa"/>
          <w:left w:w="0" w:type="dxa"/>
          <w:bottom w:w="0" w:type="dxa"/>
          <w:right w:w="0" w:type="dxa"/>
        </w:tblCellMar>
      </w:tblPr>
      <w:tr>
        <w:trPr>
          <w:trHeight w:val="225"/>
        </w:trPr>
        <w:tc>
          <w:tcPr>
            <w:tcW w:w="67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(net of amounts capitalized)</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taxes paid, net of refunds received:</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8"/>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Australia</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33,408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12,002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spacing w:after="0"/>
              <w:rPr>
                <w:sz w:val="18"/>
                <w:szCs w:val="18"/>
                <w:color w:val="auto"/>
              </w:rPr>
            </w:pPr>
          </w:p>
        </w:tc>
      </w:tr>
      <w:tr>
        <w:trPr>
          <w:trHeight w:val="218"/>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Other</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5"/>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33,560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12,274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spacing w:after="0"/>
              <w:rPr>
                <w:sz w:val="20"/>
                <w:szCs w:val="20"/>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853"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color w:val="auto"/>
        </w:rPr>
        <w:t>19.  ASSET ACQUISITION</w:t>
      </w:r>
    </w:p>
    <w:p>
      <w:pPr>
        <w:spacing w:after="0" w:line="244" w:lineRule="exact"/>
        <w:rPr>
          <w:sz w:val="20"/>
          <w:szCs w:val="20"/>
          <w:color w:val="auto"/>
        </w:rPr>
      </w:pPr>
    </w:p>
    <w:p>
      <w:pPr>
        <w:jc w:val="both"/>
        <w:ind w:firstLine="461"/>
        <w:spacing w:after="0" w:line="259" w:lineRule="auto"/>
        <w:rPr>
          <w:sz w:val="20"/>
          <w:szCs w:val="20"/>
          <w:color w:val="auto"/>
        </w:rPr>
      </w:pPr>
      <w:r>
        <w:rPr>
          <w:rFonts w:ascii="Times New Roman" w:cs="Times New Roman" w:eastAsia="Times New Roman" w:hAnsi="Times New Roman"/>
          <w:sz w:val="17"/>
          <w:szCs w:val="17"/>
          <w:color w:val="auto"/>
        </w:rPr>
        <w:t>On May 6, 2025, we acquired the assets of Qantac Pty Ltd (Qantac), located in Queensland, Australia (the Qantac Acquisition) for total consideration of A$105 million (or approximately $68 million) in cash. The Qantac Acquisition included four villages, with 1,368 rooms in Australia’s Bowen Basin and the associated accommodation assets, land and customer contracts. As a result of the Qantac Acquisition, we expanded our existing accommodations business into the Blackwater region of the Bowen Basin, which was not previously served by our existing villages. The Qantac Acquisition was funded with cash on hand and borrowings under the Credit Agreement. Qantac’s operations are reported in our Australia reportable business segment.</w:t>
      </w:r>
    </w:p>
    <w:p>
      <w:pPr>
        <w:spacing w:after="0" w:line="200" w:lineRule="exact"/>
        <w:rPr>
          <w:sz w:val="20"/>
          <w:szCs w:val="20"/>
          <w:color w:val="auto"/>
        </w:rPr>
      </w:pPr>
    </w:p>
    <w:p>
      <w:pPr>
        <w:jc w:val="both"/>
        <w:ind w:firstLine="461"/>
        <w:spacing w:after="0" w:line="256" w:lineRule="auto"/>
        <w:rPr>
          <w:sz w:val="20"/>
          <w:szCs w:val="20"/>
          <w:color w:val="auto"/>
        </w:rPr>
      </w:pPr>
      <w:r>
        <w:rPr>
          <w:rFonts w:ascii="Times New Roman" w:cs="Times New Roman" w:eastAsia="Times New Roman" w:hAnsi="Times New Roman"/>
          <w:sz w:val="17"/>
          <w:szCs w:val="17"/>
          <w:color w:val="auto"/>
        </w:rPr>
        <w:t>The Qantac Acquisition was accounted for as an asset acquisition based on the principles described in ASC 805, which provides a screen to determine when a set of transferred assets is not a business. The screen requires that when substantially all of the fair value of the gross assets acquired is concentrated in a single identifiable asset or a group of similarly identifiable assets, the set of transferred assets is not a business. Under the accounting for asset acquisitions, the acquisition is recorded using a cost accumulation and allocation model under which the cost of such acquisition is allocated on a relative fair value basis to the assets acquired and liabilities assumed. Acquisition-related transaction costs are capitalized as a component of the cost of the assets acquired. Goodwill is not recognized in an asset acquisition, and any difference between consideration transferred and the fair value of the net assets acquired is allocated to the certain identifiable assets acquired based on their relative fair values.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purchase price was allocated to the net assets as follows (in thousands):</w:t>
      </w:r>
    </w:p>
    <w:p>
      <w:pPr>
        <w:spacing w:after="0" w:line="304"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Consideration:</w:t>
            </w: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0"/>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Cash</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68,189</w:t>
            </w:r>
          </w:p>
        </w:tc>
      </w:tr>
      <w:tr>
        <w:trPr>
          <w:trHeight w:val="218"/>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Direct transaction costs</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4,601</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costs of the asset acquisition</w:t>
            </w: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17"/>
        </w:trPr>
        <w:tc>
          <w:tcPr>
            <w:tcW w:w="7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7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70,575</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7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w:t>
            </w:r>
          </w:p>
        </w:tc>
      </w:tr>
      <w:tr>
        <w:trPr>
          <w:trHeight w:val="210"/>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Total assets acquired</w:t>
            </w:r>
          </w:p>
        </w:tc>
        <w:tc>
          <w:tcPr>
            <w:tcW w:w="7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76,758</w:t>
            </w:r>
          </w:p>
        </w:tc>
      </w:tr>
      <w:tr>
        <w:trPr>
          <w:trHeight w:val="134"/>
        </w:trPr>
        <w:tc>
          <w:tcPr>
            <w:tcW w:w="7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7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r>
      <w:tr>
        <w:trPr>
          <w:trHeight w:val="210"/>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Total liabilities assumed</w:t>
            </w:r>
          </w:p>
        </w:tc>
        <w:tc>
          <w:tcPr>
            <w:tcW w:w="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3,968</w:t>
            </w:r>
          </w:p>
        </w:tc>
      </w:tr>
      <w:tr>
        <w:trPr>
          <w:trHeight w:val="235"/>
        </w:trPr>
        <w:tc>
          <w:tcPr>
            <w:tcW w:w="7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assets acquired</w:t>
            </w: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SEGMENT AND RELATED INFORMATION</w:t>
      </w:r>
    </w:p>
    <w:p>
      <w:pPr>
        <w:spacing w:after="0" w:line="218"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We report segment information based on the “management” approach. The management approach designates the internal reporting used by management for making decisions and assessing performance as the source of our reportable segments. We have identified two reportable segments, Australia and Canada, which represent our strategic focus on hospitality services and workforce accommodations.</w:t>
      </w:r>
    </w:p>
    <w:p>
      <w:pPr>
        <w:spacing w:after="0" w:line="193" w:lineRule="exact"/>
        <w:rPr>
          <w:sz w:val="20"/>
          <w:szCs w:val="20"/>
          <w:color w:val="auto"/>
        </w:rPr>
      </w:pPr>
    </w:p>
    <w:p>
      <w:pPr>
        <w:jc w:val="both"/>
        <w:ind w:firstLine="461"/>
        <w:spacing w:after="0" w:line="258" w:lineRule="auto"/>
        <w:rPr>
          <w:sz w:val="20"/>
          <w:szCs w:val="20"/>
          <w:color w:val="auto"/>
        </w:rPr>
      </w:pPr>
      <w:r>
        <w:rPr>
          <w:rFonts w:ascii="Times New Roman" w:cs="Times New Roman" w:eastAsia="Times New Roman" w:hAnsi="Times New Roman"/>
          <w:sz w:val="17"/>
          <w:szCs w:val="17"/>
          <w:color w:val="auto"/>
        </w:rPr>
        <w:t>Our Chief Executive Officer is the chief operating decision maker (“CODM”). The profitability measure the CODM uses is segment operating income (loss) to review each of our reportable segments for the purpose of making decisions about resource allocation and performance assessment. Operating income (loss) is revenue less cost of sales and services, selling, general and administrative expenses, depreciation and amortization expense and other operating expenses (income). Total assets by segment are not used by the CODM to assess the performance of, or allocate resources to, the Company’s segments. Through our implementation of ASU No. 2023-07, “Segment Reporting (Topic 280) – Improvements to Reportable Segment Disclosures,” we have disclosed for each reportable segment the significant expense categories that are reviewed by the CODM below, and there are no additional significant expenses within the expense categories presented.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49" w:right="339" w:bottom="1440" w:gutter="0" w:footer="0" w:header="0"/>
        </w:sectPr>
      </w:pPr>
    </w:p>
    <w:bookmarkStart w:id="102" w:name="page103"/>
    <w:bookmarkEnd w:id="102"/>
    <w:p>
      <w:pPr>
        <w:jc w:val="both"/>
        <w:ind w:right="40" w:firstLine="461"/>
        <w:spacing w:after="0" w:line="259" w:lineRule="auto"/>
        <w:rPr>
          <w:sz w:val="20"/>
          <w:szCs w:val="20"/>
          <w:color w:val="auto"/>
        </w:rPr>
      </w:pPr>
      <w:r>
        <w:rPr>
          <w:rFonts w:ascii="Times New Roman" w:cs="Times New Roman" w:eastAsia="Times New Roman" w:hAnsi="Times New Roman"/>
          <w:sz w:val="17"/>
          <w:szCs w:val="17"/>
          <w:color w:val="auto"/>
        </w:rPr>
        <w:t>Prior to the fourth quarter of 2025, Corporate, other and eliminations selling, general and administrative expenses includes corporate information technology (IT) expenses managed on a worldwide basis that are not allocated to individual segments in Australia and Canada. To better align segment operating income (loss) to the profitability measure used by our CODM, these shared general and administrative costs are now allocated to Australia and Canada beginning with the year ended December 31, 2025. For the years ended December 31, 2024, and 2023, we allocated corporate IT expenses to Australia and Canada of $9.0 million and $8.8 million, respectively, to conform with the presentation for the year ended December 31, 2025.</w:t>
      </w:r>
    </w:p>
    <w:p>
      <w:pPr>
        <w:spacing w:after="0" w:line="200" w:lineRule="exact"/>
        <w:rPr>
          <w:sz w:val="20"/>
          <w:szCs w:val="20"/>
          <w:color w:val="auto"/>
        </w:rPr>
      </w:pPr>
    </w:p>
    <w:p>
      <w:pPr>
        <w:jc w:val="both"/>
        <w:ind w:right="40" w:firstLine="461"/>
        <w:spacing w:after="0" w:line="284" w:lineRule="auto"/>
        <w:rPr>
          <w:sz w:val="20"/>
          <w:szCs w:val="20"/>
          <w:color w:val="auto"/>
        </w:rPr>
      </w:pPr>
      <w:r>
        <w:rPr>
          <w:rFonts w:ascii="Times New Roman" w:cs="Times New Roman" w:eastAsia="Times New Roman" w:hAnsi="Times New Roman"/>
          <w:sz w:val="17"/>
          <w:szCs w:val="17"/>
          <w:color w:val="auto"/>
        </w:rPr>
        <w:t>Financial information by business segment for each of the three years ended December 31, 2025, 2024 and 2023 is summarized in the following (in thousands):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80" w:type="dxa"/>
            <w:vAlign w:val="bottom"/>
          </w:tcPr>
          <w:p>
            <w:pPr>
              <w:spacing w:after="0"/>
              <w:rPr>
                <w:sz w:val="17"/>
                <w:szCs w:val="17"/>
                <w:color w:val="auto"/>
              </w:rPr>
            </w:pPr>
          </w:p>
        </w:tc>
        <w:tc>
          <w:tcPr>
            <w:tcW w:w="14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6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eliminations</w:t>
            </w:r>
          </w:p>
        </w:tc>
        <w:tc>
          <w:tcPr>
            <w:tcW w:w="36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460,295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638,849</w:t>
            </w:r>
          </w:p>
        </w:tc>
        <w:tc>
          <w:tcPr>
            <w:tcW w:w="0" w:type="dxa"/>
            <w:vAlign w:val="bottom"/>
          </w:tcPr>
          <w:p>
            <w:pPr>
              <w:spacing w:after="0"/>
              <w:rPr>
                <w:sz w:val="1"/>
                <w:szCs w:val="1"/>
                <w:color w:val="auto"/>
              </w:rPr>
            </w:pPr>
          </w:p>
        </w:tc>
      </w:tr>
      <w:tr>
        <w:trPr>
          <w:trHeight w:val="21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147,991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487,761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151,088</w:t>
            </w:r>
          </w:p>
        </w:tc>
        <w:tc>
          <w:tcPr>
            <w:tcW w:w="0" w:type="dxa"/>
            <w:vAlign w:val="bottom"/>
          </w:tcPr>
          <w:p>
            <w:pPr>
              <w:spacing w:after="0"/>
              <w:rPr>
                <w:sz w:val="1"/>
                <w:szCs w:val="1"/>
                <w:color w:val="auto"/>
              </w:rPr>
            </w:pPr>
          </w:p>
        </w:tc>
      </w:tr>
      <w:tr>
        <w:trPr>
          <w:trHeight w:val="205"/>
        </w:trPr>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75,342</w:t>
            </w:r>
          </w:p>
        </w:tc>
        <w:tc>
          <w:tcPr>
            <w:tcW w:w="0" w:type="dxa"/>
            <w:vAlign w:val="bottom"/>
          </w:tcPr>
          <w:p>
            <w:pPr>
              <w:spacing w:after="0"/>
              <w:rPr>
                <w:sz w:val="1"/>
                <w:szCs w:val="1"/>
                <w:color w:val="auto"/>
              </w:rPr>
            </w:pP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72,618</w:t>
            </w: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4,115</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 to income (loss) before income taxes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Other income (loss)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(6,456)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14,363</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5,779</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Pr>
          <w:p>
            <w:pPr>
              <w:spacing w:after="0"/>
              <w:rPr>
                <w:sz w:val="16"/>
                <w:szCs w:val="16"/>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6"/>
                <w:szCs w:val="16"/>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6"/>
                <w:szCs w:val="16"/>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0"/>
        </w:trPr>
        <w:tc>
          <w:tcPr>
            <w:tcW w:w="43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eliminations</w:t>
            </w:r>
          </w:p>
        </w:tc>
        <w:tc>
          <w:tcPr>
            <w:tcW w:w="3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426,956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245,087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315,374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Recon to income (loss)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040" w:type="dxa"/>
            <w:vAlign w:val="bottom"/>
            <w:shd w:val="clear" w:color="auto" w:fill="CCEEFF"/>
          </w:tcPr>
          <w:p>
            <w:pPr>
              <w:spacing w:after="0" w:line="218" w:lineRule="exact"/>
              <w:rPr>
                <w:sz w:val="20"/>
                <w:szCs w:val="20"/>
                <w:color w:val="auto"/>
              </w:rPr>
            </w:pPr>
            <w:r>
              <w:rPr>
                <w:rFonts w:ascii="Times New Roman" w:cs="Times New Roman" w:eastAsia="Times New Roman" w:hAnsi="Times New Roman"/>
                <w:sz w:val="17"/>
                <w:szCs w:val="17"/>
                <w:color w:val="auto"/>
              </w:rPr>
              <w:t xml:space="preserve">Other income (loss)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15,703</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10,344</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6"/>
        </w:trPr>
        <w:tc>
          <w:tcPr>
            <w:tcW w:w="2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853" w:right="299" w:bottom="1440" w:gutter="0" w:footer="0" w:header="0"/>
        </w:sectPr>
      </w:pPr>
    </w:p>
    <w:bookmarkStart w:id="103" w:name="page104"/>
    <w:bookmarkEnd w:id="103"/>
    <w:tbl>
      <w:tblPr>
        <w:tblLayout w:type="fixed"/>
        <w:tblInd w:w="160" w:type="dxa"/>
        <w:tblCellMar>
          <w:top w:w="0" w:type="dxa"/>
          <w:left w:w="0" w:type="dxa"/>
          <w:bottom w:w="0" w:type="dxa"/>
          <w:right w:w="0" w:type="dxa"/>
        </w:tblCellMar>
      </w:tblPr>
      <w:tr>
        <w:trPr>
          <w:trHeight w:val="195"/>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80" w:type="dxa"/>
            <w:vAlign w:val="bottom"/>
          </w:tcPr>
          <w:p>
            <w:pPr>
              <w:spacing w:after="0"/>
              <w:rPr>
                <w:sz w:val="17"/>
                <w:szCs w:val="17"/>
                <w:color w:val="auto"/>
              </w:rPr>
            </w:pPr>
          </w:p>
        </w:tc>
        <w:tc>
          <w:tcPr>
            <w:tcW w:w="1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20" w:type="dxa"/>
            <w:vAlign w:val="bottom"/>
          </w:tcPr>
          <w:p>
            <w:pPr>
              <w:spacing w:after="0"/>
              <w:rPr>
                <w:sz w:val="17"/>
                <w:szCs w:val="17"/>
                <w:color w:val="auto"/>
              </w:rPr>
            </w:pPr>
          </w:p>
        </w:tc>
        <w:tc>
          <w:tcPr>
            <w:tcW w:w="14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Corporate, other and</w:t>
            </w:r>
          </w:p>
        </w:tc>
        <w:tc>
          <w:tcPr>
            <w:tcW w:w="360" w:type="dxa"/>
            <w:vAlign w:val="bottom"/>
          </w:tcPr>
          <w:p>
            <w:pPr>
              <w:spacing w:after="0"/>
              <w:rPr>
                <w:sz w:val="17"/>
                <w:szCs w:val="17"/>
                <w:color w:val="auto"/>
              </w:rPr>
            </w:pPr>
          </w:p>
        </w:tc>
        <w:tc>
          <w:tcPr>
            <w:tcW w:w="1280" w:type="dxa"/>
            <w:vAlign w:val="bottom"/>
            <w:vMerge w:val="restart"/>
          </w:tcPr>
          <w:p>
            <w:pPr>
              <w:jc w:val="right"/>
              <w:ind w:right="55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0"/>
        </w:trPr>
        <w:tc>
          <w:tcPr>
            <w:tcW w:w="4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eliminations</w:t>
            </w:r>
          </w:p>
        </w:tc>
        <w:tc>
          <w:tcPr>
            <w:tcW w:w="36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336,763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352,795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700,805</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 and services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243,011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277,067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10,209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530,287</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 less cost of sales and services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170,518</w:t>
            </w:r>
          </w:p>
        </w:tc>
        <w:tc>
          <w:tcPr>
            <w:tcW w:w="0" w:type="dxa"/>
            <w:vAlign w:val="bottom"/>
          </w:tcPr>
          <w:p>
            <w:pPr>
              <w:spacing w:after="0"/>
              <w:rPr>
                <w:sz w:val="1"/>
                <w:szCs w:val="1"/>
                <w:color w:val="auto"/>
              </w:rPr>
            </w:pPr>
          </w:p>
        </w:tc>
      </w:tr>
      <w:tr>
        <w:trPr>
          <w:trHeight w:val="141"/>
        </w:trPr>
        <w:tc>
          <w:tcPr>
            <w:tcW w:w="4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72,605</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 expense</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75,142</w:t>
            </w: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Other operating expense (income)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(16,716)</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39,487</w:t>
            </w:r>
          </w:p>
        </w:tc>
        <w:tc>
          <w:tcPr>
            <w:tcW w:w="0" w:type="dxa"/>
            <w:vAlign w:val="bottom"/>
          </w:tcPr>
          <w:p>
            <w:pPr>
              <w:spacing w:after="0"/>
              <w:rPr>
                <w:sz w:val="1"/>
                <w:szCs w:val="1"/>
                <w:color w:val="auto"/>
              </w:rPr>
            </w:pPr>
          </w:p>
        </w:tc>
      </w:tr>
      <w:tr>
        <w:trPr>
          <w:trHeight w:val="141"/>
        </w:trPr>
        <w:tc>
          <w:tcPr>
            <w:tcW w:w="4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Recon to income (loss)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7"/>
                <w:szCs w:val="17"/>
                <w:color w:val="auto"/>
              </w:rPr>
              <w:t xml:space="preserve">Other income (loss)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40,363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9,216</w:t>
            </w:r>
          </w:p>
        </w:tc>
        <w:tc>
          <w:tcPr>
            <w:tcW w:w="10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10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31,633</w:t>
            </w: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left="300" w:hanging="298"/>
        <w:spacing w:after="0" w:line="235" w:lineRule="auto"/>
        <w:tabs>
          <w:tab w:leader="none" w:pos="288"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operating expense (income) for each reportable segment primarily includes other operating income and expenses for the years ended December 31, 2025, 2024 and 2023. In addition, for the years ended December 31, 2024 and 2023, Other operating expense (income) included impairment expense. For the years ended December 31, 2024 and 2023, Other operating expense (income) in Canada includes gain on sale of McClelland Lake Lodge assets, net.</w:t>
      </w:r>
    </w:p>
    <w:p>
      <w:pPr>
        <w:spacing w:after="0" w:line="1" w:lineRule="exact"/>
        <w:rPr>
          <w:rFonts w:ascii="Times New Roman" w:cs="Times New Roman" w:eastAsia="Times New Roman" w:hAnsi="Times New Roman"/>
          <w:sz w:val="22"/>
          <w:szCs w:val="22"/>
          <w:color w:val="auto"/>
          <w:vertAlign w:val="superscript"/>
        </w:rPr>
      </w:pPr>
    </w:p>
    <w:p>
      <w:pPr>
        <w:ind w:left="300" w:hanging="298"/>
        <w:spacing w:after="0" w:line="194" w:lineRule="auto"/>
        <w:tabs>
          <w:tab w:leader="none" w:pos="300"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income (loss) is primarily related to interest expense, interest income and other income.</w:t>
      </w:r>
    </w:p>
    <w:p>
      <w:pPr>
        <w:spacing w:after="0" w:line="214" w:lineRule="exact"/>
        <w:rPr>
          <w:sz w:val="20"/>
          <w:szCs w:val="20"/>
          <w:color w:val="auto"/>
        </w:rPr>
      </w:pPr>
    </w:p>
    <w:p>
      <w:pPr>
        <w:jc w:val="both"/>
        <w:ind w:firstLine="461"/>
        <w:spacing w:after="0" w:line="267" w:lineRule="auto"/>
        <w:rPr>
          <w:sz w:val="20"/>
          <w:szCs w:val="20"/>
          <w:color w:val="auto"/>
        </w:rPr>
      </w:pPr>
      <w:r>
        <w:rPr>
          <w:rFonts w:ascii="Times New Roman" w:cs="Times New Roman" w:eastAsia="Times New Roman" w:hAnsi="Times New Roman"/>
          <w:sz w:val="17"/>
          <w:szCs w:val="17"/>
          <w:color w:val="auto"/>
        </w:rPr>
        <w:t>Financial information by geographic segment as of and for each of the three years ended December 31, 2025, 2024 and 2023, is summarized below (in thousands). Other revenues include export sales. Revenues are attributable to countries based on the location of the entity selling the products or performing the services Total assets are attributable to countries based on the physical location of the entity and its operating assets and do not include intercompany balances.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Canada</w:t>
            </w:r>
          </w:p>
        </w:tc>
        <w:tc>
          <w:tcPr>
            <w:tcW w:w="24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Australia</w:t>
            </w:r>
          </w:p>
        </w:tc>
        <w:tc>
          <w:tcPr>
            <w:tcW w:w="30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300" w:type="dxa"/>
            <w:vAlign w:val="bottom"/>
          </w:tcPr>
          <w:p>
            <w:pPr>
              <w:spacing w:after="0"/>
              <w:rPr>
                <w:sz w:val="19"/>
                <w:szCs w:val="19"/>
                <w:color w:val="auto"/>
              </w:rPr>
            </w:pPr>
          </w:p>
        </w:tc>
        <w:tc>
          <w:tcPr>
            <w:tcW w:w="1120" w:type="dxa"/>
            <w:vAlign w:val="bottom"/>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8"/>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from unaffiliated customers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178,554</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460,295</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638,849</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272,900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477,411</w:t>
            </w:r>
          </w:p>
        </w:tc>
      </w:tr>
      <w:tr>
        <w:trPr>
          <w:trHeight w:val="102"/>
        </w:trPr>
        <w:tc>
          <w:tcPr>
            <w:tcW w:w="5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from unaffiliated customers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245,087</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426,956</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10,079</w:t>
            </w:r>
          </w:p>
        </w:tc>
        <w:tc>
          <w:tcPr>
            <w:tcW w:w="12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682,122</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185,643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405,072</w:t>
            </w:r>
          </w:p>
        </w:tc>
      </w:tr>
      <w:tr>
        <w:trPr>
          <w:trHeight w:val="102"/>
        </w:trPr>
        <w:tc>
          <w:tcPr>
            <w:tcW w:w="5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8"/>
        </w:trPr>
        <w:tc>
          <w:tcPr>
            <w:tcW w:w="5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 from unaffiliated customers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352,795</w:t>
            </w:r>
          </w:p>
        </w:tc>
        <w:tc>
          <w:tcPr>
            <w:tcW w:w="10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336,763</w:t>
            </w:r>
          </w:p>
        </w:tc>
        <w:tc>
          <w:tcPr>
            <w:tcW w:w="10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11,247</w:t>
            </w:r>
          </w:p>
        </w:tc>
        <w:tc>
          <w:tcPr>
            <w:tcW w:w="12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700,805</w:t>
            </w:r>
          </w:p>
        </w:tc>
      </w:tr>
      <w:tr>
        <w:trPr>
          <w:trHeight w:val="21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318,998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color w:val="auto"/>
        </w:rPr>
        <w:t>21. VALUATION ACCOUNTS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Activity in the valuation accounts was as follows (in thousands):</w:t>
      </w:r>
    </w:p>
    <w:p>
      <w:pPr>
        <w:spacing w:after="0" w:line="33"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Balance at</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Charged</w:t>
            </w:r>
          </w:p>
        </w:tc>
        <w:tc>
          <w:tcPr>
            <w:tcW w:w="160" w:type="dxa"/>
            <w:vAlign w:val="bottom"/>
          </w:tcPr>
          <w:p>
            <w:pPr>
              <w:spacing w:after="0"/>
              <w:rPr>
                <w:sz w:val="15"/>
                <w:szCs w:val="15"/>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Deductions</w:t>
            </w:r>
          </w:p>
        </w:tc>
        <w:tc>
          <w:tcPr>
            <w:tcW w:w="160" w:type="dxa"/>
            <w:vAlign w:val="bottom"/>
          </w:tcPr>
          <w:p>
            <w:pPr>
              <w:spacing w:after="0"/>
              <w:rPr>
                <w:sz w:val="15"/>
                <w:szCs w:val="15"/>
                <w:color w:val="auto"/>
              </w:rPr>
            </w:pPr>
          </w:p>
        </w:tc>
        <w:tc>
          <w:tcPr>
            <w:tcW w:w="1040" w:type="dxa"/>
            <w:vAlign w:val="bottom"/>
            <w:vMerge w:val="restart"/>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Translation</w:t>
            </w:r>
          </w:p>
        </w:tc>
        <w:tc>
          <w:tcPr>
            <w:tcW w:w="100" w:type="dxa"/>
            <w:vAlign w:val="bottom"/>
          </w:tcPr>
          <w:p>
            <w:pPr>
              <w:spacing w:after="0"/>
              <w:rPr>
                <w:sz w:val="15"/>
                <w:szCs w:val="15"/>
                <w:color w:val="auto"/>
              </w:rPr>
            </w:pPr>
          </w:p>
        </w:tc>
        <w:tc>
          <w:tcPr>
            <w:tcW w:w="920" w:type="dxa"/>
            <w:vAlign w:val="bottom"/>
            <w:vMerge w:val="restart"/>
          </w:tcPr>
          <w:p>
            <w:pPr>
              <w:jc w:val="center"/>
              <w:ind w:left="203"/>
              <w:spacing w:after="0"/>
              <w:rPr>
                <w:sz w:val="20"/>
                <w:szCs w:val="20"/>
                <w:color w:val="auto"/>
              </w:rPr>
            </w:pPr>
            <w:r>
              <w:rPr>
                <w:rFonts w:ascii="Times New Roman" w:cs="Times New Roman" w:eastAsia="Times New Roman" w:hAnsi="Times New Roman"/>
                <w:sz w:val="15"/>
                <w:szCs w:val="15"/>
                <w:b w:val="1"/>
                <w:bCs w:val="1"/>
                <w:color w:val="auto"/>
              </w:rPr>
              <w:t>Balance</w:t>
            </w: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(Reduction) to</w:t>
            </w: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Beginning</w:t>
            </w: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5"/>
                <w:szCs w:val="15"/>
                <w:b w:val="1"/>
                <w:bCs w:val="1"/>
                <w:color w:val="auto"/>
              </w:rPr>
              <w:t>Costs and</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5"/>
                <w:szCs w:val="15"/>
                <w:b w:val="1"/>
                <w:bCs w:val="1"/>
                <w:color w:val="auto"/>
              </w:rPr>
              <w:t>(Net of</w:t>
            </w:r>
          </w:p>
        </w:tc>
        <w:tc>
          <w:tcPr>
            <w:tcW w:w="160" w:type="dxa"/>
            <w:vAlign w:val="bottom"/>
          </w:tcPr>
          <w:p>
            <w:pPr>
              <w:spacing w:after="0"/>
              <w:rPr>
                <w:sz w:val="13"/>
                <w:szCs w:val="13"/>
                <w:color w:val="auto"/>
              </w:rPr>
            </w:pPr>
          </w:p>
        </w:tc>
        <w:tc>
          <w:tcPr>
            <w:tcW w:w="1040" w:type="dxa"/>
            <w:vAlign w:val="bottom"/>
          </w:tcPr>
          <w:p>
            <w:pPr>
              <w:jc w:val="center"/>
              <w:ind w:right="57"/>
              <w:spacing w:after="0" w:line="154" w:lineRule="exact"/>
              <w:rPr>
                <w:sz w:val="20"/>
                <w:szCs w:val="20"/>
                <w:color w:val="auto"/>
              </w:rPr>
            </w:pPr>
            <w:r>
              <w:rPr>
                <w:rFonts w:ascii="Times New Roman" w:cs="Times New Roman" w:eastAsia="Times New Roman" w:hAnsi="Times New Roman"/>
                <w:sz w:val="15"/>
                <w:szCs w:val="15"/>
                <w:b w:val="1"/>
                <w:bCs w:val="1"/>
                <w:color w:val="auto"/>
                <w:w w:val="99"/>
              </w:rPr>
              <w:t>and Other,</w:t>
            </w:r>
          </w:p>
        </w:tc>
        <w:tc>
          <w:tcPr>
            <w:tcW w:w="100" w:type="dxa"/>
            <w:vAlign w:val="bottom"/>
          </w:tcPr>
          <w:p>
            <w:pPr>
              <w:spacing w:after="0"/>
              <w:rPr>
                <w:sz w:val="13"/>
                <w:szCs w:val="13"/>
                <w:color w:val="auto"/>
              </w:rPr>
            </w:pPr>
          </w:p>
        </w:tc>
        <w:tc>
          <w:tcPr>
            <w:tcW w:w="920" w:type="dxa"/>
            <w:vAlign w:val="bottom"/>
          </w:tcPr>
          <w:p>
            <w:pPr>
              <w:jc w:val="center"/>
              <w:ind w:left="223"/>
              <w:spacing w:after="0" w:line="154" w:lineRule="exact"/>
              <w:rPr>
                <w:sz w:val="20"/>
                <w:szCs w:val="20"/>
                <w:color w:val="auto"/>
              </w:rPr>
            </w:pPr>
            <w:r>
              <w:rPr>
                <w:rFonts w:ascii="Times New Roman" w:cs="Times New Roman" w:eastAsia="Times New Roman" w:hAnsi="Times New Roman"/>
                <w:sz w:val="15"/>
                <w:szCs w:val="15"/>
                <w:b w:val="1"/>
                <w:bCs w:val="1"/>
                <w:color w:val="auto"/>
              </w:rPr>
              <w:t>at End of</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of Period</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Expenses</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Recoveries)</w:t>
            </w:r>
          </w:p>
        </w:tc>
        <w:tc>
          <w:tcPr>
            <w:tcW w:w="160" w:type="dxa"/>
            <w:vAlign w:val="bottom"/>
          </w:tcPr>
          <w:p>
            <w:pPr>
              <w:spacing w:after="0"/>
              <w:rPr>
                <w:sz w:val="17"/>
                <w:szCs w:val="17"/>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Net</w:t>
            </w:r>
          </w:p>
        </w:tc>
        <w:tc>
          <w:tcPr>
            <w:tcW w:w="100" w:type="dxa"/>
            <w:vAlign w:val="bottom"/>
          </w:tcPr>
          <w:p>
            <w:pPr>
              <w:spacing w:after="0"/>
              <w:rPr>
                <w:sz w:val="17"/>
                <w:szCs w:val="17"/>
                <w:color w:val="auto"/>
              </w:rPr>
            </w:pPr>
          </w:p>
        </w:tc>
        <w:tc>
          <w:tcPr>
            <w:tcW w:w="920" w:type="dxa"/>
            <w:vAlign w:val="bottom"/>
          </w:tcPr>
          <w:p>
            <w:pPr>
              <w:jc w:val="center"/>
              <w:ind w:left="223"/>
              <w:spacing w:after="0"/>
              <w:rPr>
                <w:sz w:val="20"/>
                <w:szCs w:val="20"/>
                <w:color w:val="auto"/>
              </w:rPr>
            </w:pPr>
            <w:r>
              <w:rPr>
                <w:rFonts w:ascii="Times New Roman" w:cs="Times New Roman" w:eastAsia="Times New Roman" w:hAnsi="Times New Roman"/>
                <w:sz w:val="15"/>
                <w:szCs w:val="15"/>
                <w:b w:val="1"/>
                <w:bCs w:val="1"/>
                <w:color w:val="auto"/>
                <w:w w:val="98"/>
              </w:rPr>
              <w:t>Period</w:t>
            </w:r>
          </w:p>
        </w:tc>
        <w:tc>
          <w:tcPr>
            <w:tcW w:w="0" w:type="dxa"/>
            <w:vAlign w:val="bottom"/>
          </w:tcPr>
          <w:p>
            <w:pPr>
              <w:spacing w:after="0"/>
              <w:rPr>
                <w:sz w:val="1"/>
                <w:szCs w:val="1"/>
                <w:color w:val="auto"/>
              </w:rPr>
            </w:pPr>
          </w:p>
        </w:tc>
      </w:tr>
      <w:tr>
        <w:trPr>
          <w:trHeight w:val="19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Allowance for credit losses on 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20" w:type="dxa"/>
            <w:vAlign w:val="bottom"/>
            <w:gridSpan w:val="2"/>
          </w:tcPr>
          <w:p>
            <w:pPr>
              <w:jc w:val="right"/>
              <w:ind w:right="7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81,998</w:t>
            </w:r>
          </w:p>
        </w:tc>
        <w:tc>
          <w:tcPr>
            <w:tcW w:w="100" w:type="dxa"/>
            <w:vAlign w:val="bottom"/>
            <w:shd w:val="clear" w:color="auto" w:fill="CCEE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1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10,642</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shd w:val="clear" w:color="auto" w:fill="BFE4FF"/>
          </w:tcPr>
          <w:p>
            <w:pPr>
              <w:spacing w:after="0"/>
              <w:rPr>
                <w:sz w:val="18"/>
                <w:szCs w:val="18"/>
                <w:color w:val="auto"/>
              </w:rPr>
            </w:pPr>
          </w:p>
        </w:tc>
        <w:tc>
          <w:tcPr>
            <w:tcW w:w="160" w:type="dxa"/>
            <w:vAlign w:val="bottom"/>
            <w:shd w:val="clear" w:color="auto" w:fill="BFE4FF"/>
          </w:tcPr>
          <w:p>
            <w:pPr>
              <w:spacing w:after="0"/>
              <w:rPr>
                <w:sz w:val="18"/>
                <w:szCs w:val="18"/>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4,390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Allowance for credit losses on 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20" w:type="dxa"/>
            <w:vAlign w:val="bottom"/>
            <w:gridSpan w:val="2"/>
          </w:tcPr>
          <w:p>
            <w:pPr>
              <w:jc w:val="right"/>
              <w:ind w:right="7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102"/>
        </w:trPr>
        <w:tc>
          <w:tcPr>
            <w:tcW w:w="4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Allowance for credit losses on accounts receivable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gridSpan w:val="2"/>
          </w:tcPr>
          <w:p>
            <w:pPr>
              <w:jc w:val="right"/>
              <w:ind w:right="74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Valuation allowance for deferred tax assets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340"/>
          </w:cols>
          <w:pgMar w:left="320" w:top="849" w:right="2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9"/>
          <w:szCs w:val="19"/>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9"/>
          <w:szCs w:val="19"/>
          <w:b w:val="1"/>
          <w:bCs w:val="1"/>
          <w:color w:val="auto"/>
        </w:rPr>
        <w:t>SIGNIFICANT SUBSIDIARIES OF CIVEO CORPORATION</w:t>
      </w:r>
    </w:p>
    <w:p>
      <w:pPr>
        <w:sectPr>
          <w:pgSz w:w="11900" w:h="16838" w:orient="portrait"/>
          <w:cols w:equalWidth="0" w:num="1">
            <w:col w:w="10240"/>
          </w:cols>
          <w:pgMar w:left="1320" w:top="1373" w:right="339" w:bottom="1440" w:gutter="0" w:footer="0" w:header="0"/>
        </w:sect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Entity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p>
      <w:pPr>
        <w:spacing w:after="0" w:line="200" w:lineRule="exact"/>
        <w:rPr>
          <w:sz w:val="20"/>
          <w:szCs w:val="20"/>
          <w:color w:val="auto"/>
        </w:rPr>
      </w:pPr>
    </w:p>
    <w:p>
      <w:pPr>
        <w:sectPr>
          <w:pgSz w:w="11900" w:h="16838" w:orient="portrait"/>
          <w:cols w:equalWidth="0" w:num="2">
            <w:col w:w="5900" w:space="720"/>
            <w:col w:w="3620"/>
          </w:cols>
          <w:pgMar w:left="1320" w:top="1373" w:right="33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Canada Limited Partnership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Holding Company 1 Pty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Civeo Holding Company 2 Pty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Civeo Management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Civeo Pty Ltd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Civeo USA LLC</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Alberta, Canada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Australia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Australia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 U.S.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Australia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Delaware, U.S.</w:t>
      </w:r>
    </w:p>
    <w:p>
      <w:pPr>
        <w:sectPr>
          <w:pgSz w:w="11900" w:h="16838" w:orient="portrait"/>
          <w:cols w:equalWidth="0" w:num="2">
            <w:col w:w="5900" w:space="720"/>
            <w:col w:w="3620"/>
          </w:cols>
          <w:pgMar w:left="1320" w:top="1373" w:right="339" w:bottom="1440" w:gutter="0" w:footer="0" w:header="0"/>
          <w:type w:val="continuous"/>
        </w:sectPr>
      </w:pPr>
    </w:p>
    <w:bookmarkStart w:id="106" w:name="page107"/>
    <w:bookmarkEnd w:id="106"/>
    <w:p>
      <w:pPr>
        <w:ind w:left="7380"/>
        <w:spacing w:after="0"/>
        <w:rPr>
          <w:sz w:val="20"/>
          <w:szCs w:val="20"/>
          <w:color w:val="auto"/>
        </w:rPr>
      </w:pPr>
      <w:r>
        <w:rPr>
          <w:rFonts w:ascii="Times New Roman" w:cs="Times New Roman" w:eastAsia="Times New Roman" w:hAnsi="Times New Roman"/>
          <w:sz w:val="19"/>
          <w:szCs w:val="19"/>
          <w:color w:val="auto"/>
        </w:rPr>
        <w:t>Exhibit 23.1</w:t>
      </w:r>
    </w:p>
    <w:p>
      <w:pPr>
        <w:spacing w:after="0" w:line="2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the following Registration Statements:</w:t>
      </w:r>
    </w:p>
    <w:p>
      <w:pPr>
        <w:spacing w:after="0" w:line="218" w:lineRule="exact"/>
        <w:rPr>
          <w:sz w:val="20"/>
          <w:szCs w:val="20"/>
          <w:color w:val="auto"/>
        </w:rPr>
      </w:pPr>
    </w:p>
    <w:p>
      <w:pPr>
        <w:ind w:left="620" w:hanging="310"/>
        <w:spacing w:after="0" w:line="278" w:lineRule="auto"/>
        <w:tabs>
          <w:tab w:leader="none" w:pos="61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Registration Statement (Form S-8 No. 333-196292, as amended) pertaining to the 2014 Equity Participation Plan of Civeo Corporation,</w:t>
      </w:r>
    </w:p>
    <w:p>
      <w:pPr>
        <w:spacing w:after="0" w:line="158" w:lineRule="exact"/>
        <w:rPr>
          <w:rFonts w:ascii="Times New Roman" w:cs="Times New Roman" w:eastAsia="Times New Roman" w:hAnsi="Times New Roman"/>
          <w:sz w:val="19"/>
          <w:szCs w:val="19"/>
          <w:color w:val="auto"/>
        </w:rPr>
      </w:pPr>
    </w:p>
    <w:p>
      <w:pPr>
        <w:ind w:left="620" w:hanging="310"/>
        <w:spacing w:after="0" w:line="278" w:lineRule="auto"/>
        <w:tabs>
          <w:tab w:leader="none" w:pos="61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Registration Statement (Form S-8 No. 333-211393) pertaining to the Amended and Restated 2014 Equity Participation Plan of Civeo Corporation,</w:t>
      </w:r>
    </w:p>
    <w:p>
      <w:pPr>
        <w:spacing w:after="0" w:line="158" w:lineRule="exact"/>
        <w:rPr>
          <w:rFonts w:ascii="Times New Roman" w:cs="Times New Roman" w:eastAsia="Times New Roman" w:hAnsi="Times New Roman"/>
          <w:sz w:val="19"/>
          <w:szCs w:val="19"/>
          <w:color w:val="auto"/>
        </w:rPr>
      </w:pPr>
    </w:p>
    <w:p>
      <w:pPr>
        <w:ind w:left="620" w:hanging="310"/>
        <w:spacing w:after="0" w:line="278" w:lineRule="auto"/>
        <w:tabs>
          <w:tab w:leader="none" w:pos="6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Registration Statement (Form S-8 No. 333-226388) pertaining to the Amended and Restated 2014 Equity Participation Plan of Civeo Corporation,</w:t>
      </w:r>
    </w:p>
    <w:p>
      <w:pPr>
        <w:spacing w:after="0" w:line="158" w:lineRule="exact"/>
        <w:rPr>
          <w:rFonts w:ascii="Times New Roman" w:cs="Times New Roman" w:eastAsia="Times New Roman" w:hAnsi="Times New Roman"/>
          <w:sz w:val="19"/>
          <w:szCs w:val="19"/>
          <w:color w:val="auto"/>
        </w:rPr>
      </w:pPr>
    </w:p>
    <w:p>
      <w:pPr>
        <w:ind w:left="620" w:hanging="310"/>
        <w:spacing w:after="0" w:line="278" w:lineRule="auto"/>
        <w:tabs>
          <w:tab w:leader="none" w:pos="6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Registration Statement (Form S-8 No. 333-240167) pertaining to the Amended and Restated 2014 Equity Participation Plan of Civeo Corporation, and</w:t>
      </w:r>
    </w:p>
    <w:p>
      <w:pPr>
        <w:spacing w:after="0" w:line="158" w:lineRule="exact"/>
        <w:rPr>
          <w:rFonts w:ascii="Times New Roman" w:cs="Times New Roman" w:eastAsia="Times New Roman" w:hAnsi="Times New Roman"/>
          <w:sz w:val="19"/>
          <w:szCs w:val="19"/>
          <w:color w:val="auto"/>
        </w:rPr>
      </w:pPr>
    </w:p>
    <w:p>
      <w:pPr>
        <w:ind w:left="620" w:hanging="310"/>
        <w:spacing w:after="0" w:line="278" w:lineRule="auto"/>
        <w:tabs>
          <w:tab w:leader="none" w:pos="60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Registration Statement (Form S-8 No. 333-273503) pertaining to the Amended and Restated 2014 Equity Participation Plan of Civeo Corporation</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of our reports dated March 3, 2026, with respect to the consolidated financial statements of Civeo Corporation and the effectiveness of internal control over financial reporting of Civeo Corporation included in this Annual Report (Form 10-K) of Civeo Corporation for the year ended December 31, 2025.</w:t>
      </w: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2026</w:t>
      </w:r>
    </w:p>
    <w:p>
      <w:pPr>
        <w:sectPr>
          <w:pgSz w:w="11900" w:h="16838" w:orient="portrait"/>
          <w:cols w:equalWidth="0" w:num="1">
            <w:col w:w="11240"/>
          </w:cols>
          <w:pgMar w:left="320" w:top="73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Bradley J. Dodson, certify that:</w:t>
      </w:r>
    </w:p>
    <w:p>
      <w:pPr>
        <w:spacing w:after="0" w:line="240" w:lineRule="exact"/>
        <w:rPr>
          <w:sz w:val="20"/>
          <w:szCs w:val="20"/>
          <w:color w:val="auto"/>
        </w:rPr>
      </w:pPr>
    </w:p>
    <w:p>
      <w:pPr>
        <w:ind w:left="460" w:hanging="3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Civeo Corporation (“Registrant");</w:t>
      </w:r>
    </w:p>
    <w:p>
      <w:pPr>
        <w:spacing w:after="0" w:line="239" w:lineRule="exact"/>
        <w:rPr>
          <w:rFonts w:ascii="Times New Roman" w:cs="Times New Roman" w:eastAsia="Times New Roman" w:hAnsi="Times New Roman"/>
          <w:sz w:val="17"/>
          <w:szCs w:val="17"/>
          <w:color w:val="auto"/>
        </w:rPr>
      </w:pPr>
    </w:p>
    <w:p>
      <w:pPr>
        <w:ind w:left="460" w:right="220" w:hanging="310"/>
        <w:spacing w:after="0" w:line="284" w:lineRule="auto"/>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7"/>
          <w:szCs w:val="17"/>
          <w:color w:val="auto"/>
        </w:rPr>
      </w:pPr>
    </w:p>
    <w:p>
      <w:pPr>
        <w:ind w:left="460" w:right="20" w:hanging="310"/>
        <w:spacing w:after="0" w:line="284" w:lineRule="auto"/>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460" w:right="100" w:hanging="310"/>
        <w:spacing w:after="0" w:line="267" w:lineRule="auto"/>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Times New Roman" w:cs="Times New Roman" w:eastAsia="Times New Roman" w:hAnsi="Times New Roman"/>
          <w:sz w:val="17"/>
          <w:szCs w:val="17"/>
          <w:color w:val="auto"/>
        </w:rPr>
      </w:pPr>
    </w:p>
    <w:p>
      <w:pPr>
        <w:ind w:left="920" w:right="40" w:hanging="309"/>
        <w:spacing w:after="0" w:line="267" w:lineRule="auto"/>
        <w:tabs>
          <w:tab w:leader="none" w:pos="91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Times New Roman" w:cs="Times New Roman" w:eastAsia="Times New Roman" w:hAnsi="Times New Roman"/>
          <w:sz w:val="17"/>
          <w:szCs w:val="17"/>
          <w:color w:val="auto"/>
        </w:rPr>
      </w:pPr>
    </w:p>
    <w:p>
      <w:pPr>
        <w:ind w:left="920" w:right="20" w:hanging="309"/>
        <w:spacing w:after="0" w:line="267" w:lineRule="auto"/>
        <w:tabs>
          <w:tab w:leader="none" w:pos="9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Times New Roman" w:cs="Times New Roman" w:eastAsia="Times New Roman" w:hAnsi="Times New Roman"/>
          <w:sz w:val="17"/>
          <w:szCs w:val="17"/>
          <w:color w:val="auto"/>
        </w:rPr>
      </w:pPr>
    </w:p>
    <w:p>
      <w:pPr>
        <w:ind w:left="920" w:right="20" w:hanging="309"/>
        <w:spacing w:after="0" w:line="284" w:lineRule="auto"/>
        <w:tabs>
          <w:tab w:leader="none" w:pos="91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920" w:right="140" w:hanging="309"/>
        <w:spacing w:after="0" w:line="267" w:lineRule="auto"/>
        <w:tabs>
          <w:tab w:leader="none" w:pos="92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080"/>
          </w:cols>
          <w:pgMar w:left="480" w:top="849" w:right="339" w:bottom="1440" w:gutter="0" w:footer="0" w:header="0"/>
        </w:sectPr>
      </w:pPr>
    </w:p>
    <w:bookmarkStart w:id="108" w:name="page109"/>
    <w:bookmarkEnd w:id="108"/>
    <w:p>
      <w:pPr>
        <w:ind w:left="460" w:right="520" w:hanging="310"/>
        <w:spacing w:after="0" w:line="284" w:lineRule="auto"/>
        <w:tabs>
          <w:tab w:leader="none" w:pos="4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920" w:hanging="309"/>
        <w:spacing w:after="0" w:line="284" w:lineRule="auto"/>
        <w:tabs>
          <w:tab w:leader="none" w:pos="91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920" w:right="320" w:hanging="309"/>
        <w:spacing w:after="0" w:line="284" w:lineRule="auto"/>
        <w:tabs>
          <w:tab w:leader="none" w:pos="9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2026</w:t>
      </w:r>
    </w:p>
    <w:p>
      <w:pPr>
        <w:spacing w:after="0" w:line="13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16510</wp:posOffset>
            </wp:positionV>
            <wp:extent cx="23825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Bradley J. Dodson</w:t>
      </w:r>
    </w:p>
    <w:p>
      <w:pPr>
        <w:ind w:left="73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060"/>
          </w:cols>
          <w:pgMar w:left="480" w:top="853" w:right="35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 Collin Gerry, certify that:</w:t>
      </w:r>
    </w:p>
    <w:p>
      <w:pPr>
        <w:spacing w:after="0" w:line="240" w:lineRule="exact"/>
        <w:rPr>
          <w:sz w:val="20"/>
          <w:szCs w:val="20"/>
          <w:color w:val="auto"/>
        </w:rPr>
      </w:pPr>
    </w:p>
    <w:p>
      <w:pPr>
        <w:ind w:left="920" w:hanging="309"/>
        <w:spacing w:after="0"/>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Civeo Corporation (“Registrant”);</w:t>
      </w:r>
    </w:p>
    <w:p>
      <w:pPr>
        <w:spacing w:after="0" w:line="239" w:lineRule="exact"/>
        <w:rPr>
          <w:rFonts w:ascii="Times New Roman" w:cs="Times New Roman" w:eastAsia="Times New Roman" w:hAnsi="Times New Roman"/>
          <w:sz w:val="17"/>
          <w:szCs w:val="17"/>
          <w:color w:val="auto"/>
        </w:rPr>
      </w:pPr>
    </w:p>
    <w:p>
      <w:pPr>
        <w:jc w:val="both"/>
        <w:ind w:left="920" w:right="240" w:hanging="309"/>
        <w:spacing w:after="0" w:line="267"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Times New Roman" w:cs="Times New Roman" w:eastAsia="Times New Roman" w:hAnsi="Times New Roman"/>
          <w:sz w:val="17"/>
          <w:szCs w:val="17"/>
          <w:color w:val="auto"/>
        </w:rPr>
      </w:pPr>
    </w:p>
    <w:p>
      <w:pPr>
        <w:ind w:left="920" w:right="200" w:hanging="309"/>
        <w:spacing w:after="0" w:line="284"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7" w:lineRule="exact"/>
        <w:rPr>
          <w:rFonts w:ascii="Times New Roman" w:cs="Times New Roman" w:eastAsia="Times New Roman" w:hAnsi="Times New Roman"/>
          <w:sz w:val="17"/>
          <w:szCs w:val="17"/>
          <w:color w:val="auto"/>
        </w:rPr>
      </w:pPr>
    </w:p>
    <w:p>
      <w:pPr>
        <w:ind w:left="920" w:right="220" w:hanging="309"/>
        <w:spacing w:after="0" w:line="267" w:lineRule="auto"/>
        <w:tabs>
          <w:tab w:leader="none" w:pos="9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2" w:lineRule="exact"/>
        <w:rPr>
          <w:rFonts w:ascii="Times New Roman" w:cs="Times New Roman" w:eastAsia="Times New Roman" w:hAnsi="Times New Roman"/>
          <w:sz w:val="17"/>
          <w:szCs w:val="17"/>
          <w:color w:val="auto"/>
        </w:rPr>
      </w:pPr>
    </w:p>
    <w:p>
      <w:pPr>
        <w:jc w:val="both"/>
        <w:ind w:left="1220" w:right="200" w:hanging="302"/>
        <w:spacing w:after="0" w:line="267" w:lineRule="auto"/>
        <w:tabs>
          <w:tab w:leader="none" w:pos="12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Times New Roman" w:cs="Times New Roman" w:eastAsia="Times New Roman" w:hAnsi="Times New Roman"/>
          <w:sz w:val="17"/>
          <w:szCs w:val="17"/>
          <w:color w:val="auto"/>
        </w:rPr>
      </w:pPr>
    </w:p>
    <w:p>
      <w:pPr>
        <w:ind w:left="1220" w:right="480" w:hanging="302"/>
        <w:spacing w:after="0" w:line="267" w:lineRule="auto"/>
        <w:tabs>
          <w:tab w:leader="none" w:pos="12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2" w:lineRule="exact"/>
        <w:rPr>
          <w:rFonts w:ascii="Times New Roman" w:cs="Times New Roman" w:eastAsia="Times New Roman" w:hAnsi="Times New Roman"/>
          <w:sz w:val="17"/>
          <w:szCs w:val="17"/>
          <w:color w:val="auto"/>
        </w:rPr>
      </w:pPr>
    </w:p>
    <w:p>
      <w:pPr>
        <w:jc w:val="both"/>
        <w:ind w:left="1220" w:right="640" w:hanging="302"/>
        <w:spacing w:after="0" w:line="284" w:lineRule="auto"/>
        <w:tabs>
          <w:tab w:leader="none" w:pos="121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ind w:left="1220" w:right="100" w:hanging="302"/>
        <w:spacing w:after="0" w:line="267" w:lineRule="auto"/>
        <w:tabs>
          <w:tab w:leader="none" w:pos="12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080"/>
          </w:cols>
          <w:pgMar w:left="480" w:top="849" w:right="339" w:bottom="1440" w:gutter="0" w:footer="0" w:header="0"/>
        </w:sectPr>
      </w:pPr>
    </w:p>
    <w:bookmarkStart w:id="110" w:name="page111"/>
    <w:bookmarkEnd w:id="110"/>
    <w:p>
      <w:pPr>
        <w:ind w:left="920" w:right="60" w:hanging="309"/>
        <w:spacing w:after="0" w:line="284" w:lineRule="auto"/>
        <w:tabs>
          <w:tab w:leader="none" w:pos="9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7" w:lineRule="exact"/>
        <w:rPr>
          <w:rFonts w:ascii="Times New Roman" w:cs="Times New Roman" w:eastAsia="Times New Roman" w:hAnsi="Times New Roman"/>
          <w:sz w:val="17"/>
          <w:szCs w:val="17"/>
          <w:color w:val="auto"/>
        </w:rPr>
      </w:pPr>
    </w:p>
    <w:p>
      <w:pPr>
        <w:ind w:left="1220" w:right="120" w:hanging="302"/>
        <w:spacing w:after="0" w:line="284" w:lineRule="auto"/>
        <w:tabs>
          <w:tab w:leader="none" w:pos="121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1220" w:hanging="302"/>
        <w:spacing w:after="0" w:line="284" w:lineRule="auto"/>
        <w:tabs>
          <w:tab w:leader="none" w:pos="122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2026</w:t>
      </w:r>
    </w:p>
    <w:p>
      <w:pPr>
        <w:spacing w:after="0" w:line="34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/s/ E.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4640580</wp:posOffset>
            </wp:positionH>
            <wp:positionV relativeFrom="paragraph">
              <wp:posOffset>16510</wp:posOffset>
            </wp:positionV>
            <wp:extent cx="23825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2382520" cy="8255"/>
                    </a:xfrm>
                    <a:prstGeom prst="rect">
                      <a:avLst/>
                    </a:prstGeom>
                    <a:noFill/>
                  </pic:spPr>
                </pic:pic>
              </a:graphicData>
            </a:graphic>
          </wp:anchor>
        </w:drawing>
      </w:r>
    </w:p>
    <w:p>
      <w:pPr>
        <w:spacing w:after="0" w:line="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color w:val="auto"/>
        </w:rPr>
        <w:t>E. Collin Gerry</w:t>
      </w:r>
    </w:p>
    <w:p>
      <w:pPr>
        <w:ind w:left="7320"/>
        <w:spacing w:after="0" w:line="204" w:lineRule="auto"/>
        <w:rPr>
          <w:sz w:val="20"/>
          <w:szCs w:val="20"/>
          <w:color w:val="auto"/>
        </w:rPr>
      </w:pPr>
      <w:r>
        <w:rPr>
          <w:rFonts w:ascii="Times New Roman" w:cs="Times New Roman" w:eastAsia="Times New Roman" w:hAnsi="Times New Roman"/>
          <w:sz w:val="17"/>
          <w:szCs w:val="17"/>
          <w:color w:val="auto"/>
        </w:rPr>
        <w:t>Senior Vice President, Chief Financial Officer and</w:t>
      </w:r>
    </w:p>
    <w:p>
      <w:pPr>
        <w:ind w:left="7320"/>
        <w:spacing w:after="0"/>
        <w:rPr>
          <w:sz w:val="20"/>
          <w:szCs w:val="20"/>
          <w:color w:val="auto"/>
        </w:rPr>
      </w:pPr>
      <w:r>
        <w:rPr>
          <w:rFonts w:ascii="Times New Roman" w:cs="Times New Roman" w:eastAsia="Times New Roman" w:hAnsi="Times New Roman"/>
          <w:sz w:val="17"/>
          <w:szCs w:val="17"/>
          <w:color w:val="auto"/>
        </w:rPr>
        <w:t>Treasurer</w:t>
      </w:r>
    </w:p>
    <w:p>
      <w:pPr>
        <w:sectPr>
          <w:pgSz w:w="11900" w:h="16838" w:orient="portrait"/>
          <w:cols w:equalWidth="0" w:num="1">
            <w:col w:w="11060"/>
          </w:cols>
          <w:pgMar w:left="480" w:top="853" w:right="35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ind w:firstLine="768"/>
        <w:spacing w:after="0" w:line="267" w:lineRule="auto"/>
        <w:rPr>
          <w:sz w:val="20"/>
          <w:szCs w:val="20"/>
          <w:color w:val="auto"/>
        </w:rPr>
      </w:pPr>
      <w:r>
        <w:rPr>
          <w:rFonts w:ascii="Times New Roman" w:cs="Times New Roman" w:eastAsia="Times New Roman" w:hAnsi="Times New Roman"/>
          <w:sz w:val="17"/>
          <w:szCs w:val="17"/>
          <w:color w:val="auto"/>
        </w:rPr>
        <w:t>In connection with the Annual Report on Form 10-K of Civeo Corporation (the “Company”) for the twelve month period ended December 31, 2025,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193" w:lineRule="exact"/>
        <w:rPr>
          <w:sz w:val="20"/>
          <w:szCs w:val="20"/>
          <w:color w:val="auto"/>
        </w:rPr>
      </w:pPr>
    </w:p>
    <w:p>
      <w:pPr>
        <w:ind w:left="620" w:hanging="310"/>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16510</wp:posOffset>
            </wp:positionV>
            <wp:extent cx="2854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1" w:lineRule="exact"/>
        <w:rPr>
          <w:sz w:val="20"/>
          <w:szCs w:val="20"/>
          <w:color w:val="auto"/>
        </w:rPr>
      </w:pPr>
    </w:p>
    <w:p>
      <w:pPr>
        <w:ind w:left="6720"/>
        <w:spacing w:after="0"/>
        <w:tabs>
          <w:tab w:leader="none" w:pos="7420" w:val="left"/>
        </w:tabs>
        <w:rPr>
          <w:sz w:val="20"/>
          <w:szCs w:val="20"/>
          <w:color w:val="auto"/>
        </w:rPr>
      </w:pPr>
      <w:r>
        <w:rPr>
          <w:rFonts w:ascii="Times New Roman" w:cs="Times New Roman" w:eastAsia="Times New Roman" w:hAnsi="Times New Roman"/>
          <w:sz w:val="17"/>
          <w:szCs w:val="17"/>
          <w:color w:val="auto"/>
        </w:rPr>
        <w:t>Name:</w:t>
        <w:tab/>
        <w:t>Bradley J. Dodson</w:t>
      </w:r>
    </w:p>
    <w:p>
      <w:pPr>
        <w:spacing w:after="0" w:line="61" w:lineRule="exact"/>
        <w:rPr>
          <w:sz w:val="20"/>
          <w:szCs w:val="20"/>
          <w:color w:val="auto"/>
        </w:rPr>
      </w:pPr>
    </w:p>
    <w:p>
      <w:pPr>
        <w:ind w:left="6720"/>
        <w:spacing w:after="0"/>
        <w:tabs>
          <w:tab w:leader="none" w:pos="74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March 3, 2026</w:t>
      </w:r>
    </w:p>
    <w:p>
      <w:pPr>
        <w:sectPr>
          <w:pgSz w:w="11900" w:h="16838" w:orient="portrait"/>
          <w:cols w:equalWidth="0" w:num="1">
            <w:col w:w="11240"/>
          </w:cols>
          <w:pgMar w:left="320" w:top="849"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CERTIFICATION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PURSUANT TO 18 U.S.C. § 1350, AS ADOPTED PURSUANT TO</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jc w:val="both"/>
        <w:ind w:firstLine="768"/>
        <w:spacing w:after="0" w:line="262" w:lineRule="auto"/>
        <w:rPr>
          <w:sz w:val="20"/>
          <w:szCs w:val="20"/>
          <w:color w:val="auto"/>
        </w:rPr>
      </w:pPr>
      <w:r>
        <w:rPr>
          <w:rFonts w:ascii="Times New Roman" w:cs="Times New Roman" w:eastAsia="Times New Roman" w:hAnsi="Times New Roman"/>
          <w:sz w:val="17"/>
          <w:szCs w:val="17"/>
          <w:color w:val="auto"/>
        </w:rPr>
        <w:t>In connection with the Annual Report on Form 10-K of Civeo Corporation (the “Company”) for the twelve month period ended December 31, 2025, as filed with the Securities and Exchange Commission on the date hereof (the “Report”), I, E. Collin Gerry, Senior Vice President, Chief Financial Officer and Treasurer of the Company, hereby certify, pursuant to 18 U.S.C. Section 1350, as adopted pursuant to Section 906 of the Sarbanes-Oxley Act of 2002, to the best of my knowledge, that:</w:t>
      </w:r>
    </w:p>
    <w:p>
      <w:pPr>
        <w:spacing w:after="0" w:line="196" w:lineRule="exact"/>
        <w:rPr>
          <w:sz w:val="20"/>
          <w:szCs w:val="20"/>
          <w:color w:val="auto"/>
        </w:rPr>
      </w:pPr>
    </w:p>
    <w:p>
      <w:pPr>
        <w:ind w:left="620" w:hanging="310"/>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6720" w:type="dxa"/>
        <w:tblCellMar>
          <w:top w:w="0" w:type="dxa"/>
          <w:left w:w="0" w:type="dxa"/>
          <w:bottom w:w="0" w:type="dxa"/>
          <w:right w:w="0" w:type="dxa"/>
        </w:tblCellMar>
      </w:tblPr>
      <w:tr>
        <w:trPr>
          <w:trHeight w:val="221"/>
        </w:trPr>
        <w:tc>
          <w:tcPr>
            <w:tcW w:w="6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 E. Collin Gerry</w:t>
            </w:r>
          </w:p>
        </w:tc>
      </w:tr>
      <w:tr>
        <w:trPr>
          <w:trHeight w:val="207"/>
        </w:trPr>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Name:</w:t>
            </w:r>
          </w:p>
        </w:tc>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 Collin Gerry</w:t>
            </w:r>
          </w:p>
        </w:tc>
      </w:tr>
      <w:tr>
        <w:trPr>
          <w:trHeight w:val="222"/>
        </w:trPr>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3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March 3, 2026</w:t>
            </w:r>
          </w:p>
        </w:tc>
      </w:tr>
    </w:tbl>
    <w:p>
      <w:pPr>
        <w:spacing w:after="0" w:line="1" w:lineRule="exact"/>
        <w:rPr>
          <w:sz w:val="20"/>
          <w:szCs w:val="20"/>
          <w:color w:val="auto"/>
        </w:rPr>
      </w:pP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lvl w:ilvl="1">
      <w:lvlJc w:val="left"/>
      <w:lvlText w:val="◦"/>
      <w:numFmt w:val="bullet"/>
      <w:start w:val="1"/>
    </w:lvl>
  </w:abstractNum>
  <w:abstractNum w:abstractNumId="8">
    <w:nsid w:val="22221A70"/>
    <w:multiLevelType w:val="hybridMultilevel"/>
    <w:lvl w:ilvl="0">
      <w:lvlJc w:val="left"/>
      <w:lvlText w:val="•"/>
      <w:numFmt w:val="bullet"/>
      <w:start w:val="1"/>
    </w:lvl>
    <w:lvl w:ilvl="1">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Roman"/>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1)"/>
      <w:numFmt w:val="lowerRoman"/>
      <w:start w:val="3"/>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lvl w:ilvl="1">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lvl w:ilvl="1">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Letter"/>
      <w:start w:val="1"/>
    </w:lvl>
    <w:lvl w:ilvl="1">
      <w:lvlJc w:val="left"/>
      <w:lvlText w:val="(%2)"/>
      <w:numFmt w:val="decimal"/>
      <w:start w:val="1"/>
    </w:lvl>
  </w:abstractNum>
  <w:abstractNum w:abstractNumId="31">
    <w:nsid w:val="725A06FB"/>
    <w:multiLevelType w:val="hybridMultilevel"/>
    <w:lvl w:ilvl="0">
      <w:lvlJc w:val="left"/>
      <w:lvlText w:val="*"/>
      <w:numFmt w:val="bullet"/>
      <w:start w:val="1"/>
    </w:lvl>
    <w:lvl w:ilvl="1">
      <w:lvlJc w:val="left"/>
      <w:lvlText w:val="%2"/>
      <w:numFmt w:val="decimal"/>
      <w:start w:val="104"/>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2"/>
    </w:lvl>
  </w:abstractNum>
  <w:abstractNum w:abstractNumId="36">
    <w:nsid w:val="542289EC"/>
    <w:multiLevelType w:val="hybridMultilevel"/>
    <w:lvl w:ilvl="0">
      <w:lvlJc w:val="left"/>
      <w:lvlText w:val="%1."/>
      <w:numFmt w:val="decimal"/>
      <w:start w:val="3"/>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decimal"/>
      <w:start w:val="7"/>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8"/>
    </w:lvl>
  </w:abstractNum>
  <w:abstractNum w:abstractNumId="43">
    <w:nsid w:val="749ABB43"/>
    <w:multiLevelType w:val="hybridMultilevel"/>
    <w:lvl w:ilvl="0">
      <w:lvlJc w:val="left"/>
      <w:lvlText w:val="%1."/>
      <w:numFmt w:val="decimal"/>
      <w:start w:val="9"/>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5"/>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1)"/>
      <w:numFmt w:val="lowerRoman"/>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5"/>
    </w:lvl>
    <w:lvl w:ilvl="1">
      <w:lvlJc w:val="left"/>
      <w:lvlText w:val="%2."/>
      <w:numFmt w:val="lowerLetter"/>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5"/>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4"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83" Type="http://schemas.openxmlformats.org/officeDocument/2006/relationships/hyperlink" Target="https://www.sec.gov/Archives/edgar/data/1590584/000159058425000037/projectsolace-assetsalea.htm" TargetMode="External"/><Relationship Id="rId84" Type="http://schemas.openxmlformats.org/officeDocument/2006/relationships/hyperlink" Target="https://www.sec.gov/Archives/edgar/data/1590584/000143774918006074/ex_109485.htm" TargetMode="External"/><Relationship Id="rId85" Type="http://schemas.openxmlformats.org/officeDocument/2006/relationships/hyperlink" Target="https://www.sec.gov/Archives/edgar/data/1590584/000159058420000142/ex31amendedarticlesciveo.htm" TargetMode="External"/><Relationship Id="rId86" Type="http://schemas.openxmlformats.org/officeDocument/2006/relationships/hyperlink" Target="https://www.sec.gov/Archives/edgar/data/1590584/000159058424000111/amendedandrestatedarticles.htm" TargetMode="External"/><Relationship Id="rId87" Type="http://schemas.openxmlformats.org/officeDocument/2006/relationships/hyperlink" Target="https://www.sec.gov/Archives/edgar/data/1590584/000143774915013719/ex4-1.htm" TargetMode="External"/><Relationship Id="rId88" Type="http://schemas.openxmlformats.org/officeDocument/2006/relationships/hyperlink" Target="https://www.sec.gov/Archives/edgar/data/1590584/000159058425000037/exhibit43gdccommentsupdate.htm" TargetMode="External"/><Relationship Id="rId89" Type="http://schemas.openxmlformats.org/officeDocument/2006/relationships/hyperlink" Target="https://www.sec.gov/Archives/edgar/data/1590584/000143774915013719/ex10-1.htm" TargetMode="External"/><Relationship Id="rId90" Type="http://schemas.openxmlformats.org/officeDocument/2006/relationships/hyperlink" Target="https://www.sec.gov/Archives/edgar/data/0001590584/000159058423000055/cveo-20230331.htm#ide22856c358c4bd2adb2af4572ac642e_3791" TargetMode="External"/><Relationship Id="rId91" Type="http://schemas.openxmlformats.org/officeDocument/2006/relationships/hyperlink" Target="https://www.sec.gov/Archives/edgar/data/0001590584/000159058421000037/exhibit103-performanceshar.htm" TargetMode="External"/><Relationship Id="rId92" Type="http://schemas.openxmlformats.org/officeDocument/2006/relationships/hyperlink" Target="https://www.sec.gov/Archives/edgar/data/0001590584/000159058421000037/exhibit104-performanceshar.htm" TargetMode="External"/><Relationship Id="rId93" Type="http://schemas.openxmlformats.org/officeDocument/2006/relationships/hyperlink" Target="https://www.sec.gov/Archives/edgar/data/1590584/000143774914006955/ex10-7.htm" TargetMode="External"/><Relationship Id="rId95" Type="http://schemas.openxmlformats.org/officeDocument/2006/relationships/hyperlink" Target="https://www.sec.gov/Archives/edgar/data/1590584/000143774914006955/ex10-8.htm" TargetMode="External"/><Relationship Id="rId96" Type="http://schemas.openxmlformats.org/officeDocument/2006/relationships/hyperlink" Target="https://www.sec.gov/Archives/edgar/data/1590584/000143774914006955/ex10-10.htm" TargetMode="External"/><Relationship Id="rId97" Type="http://schemas.openxmlformats.org/officeDocument/2006/relationships/hyperlink" Target="https://www.sec.gov/Archives/edgar/data/1590584/000143774914006955/ex10-11.htm" TargetMode="External"/><Relationship Id="rId98" Type="http://schemas.openxmlformats.org/officeDocument/2006/relationships/hyperlink" Target="https://www.sec.gov/Archives/edgar/data/1590584/000143774914006955/ex10-13.htm" TargetMode="External"/><Relationship Id="rId99" Type="http://schemas.openxmlformats.org/officeDocument/2006/relationships/hyperlink" Target="https://www.sec.gov/Archives/edgar/data/1590584/000143774914006955/ex10-14.htm" TargetMode="External"/><Relationship Id="rId100" Type="http://schemas.openxmlformats.org/officeDocument/2006/relationships/hyperlink" Target="https://www.sec.gov/Archives/edgar/data/1590584/000143774915016537/ex10-1.htm" TargetMode="External"/><Relationship Id="rId101" Type="http://schemas.openxmlformats.org/officeDocument/2006/relationships/hyperlink" Target="https://www.sec.gov/Archives/edgar/data/1590584/000143774915016537/ex10-2.htm" TargetMode="External"/><Relationship Id="rId102" Type="http://schemas.openxmlformats.org/officeDocument/2006/relationships/hyperlink" Target="https://www.sec.gov/Archives/edgar/data/0001590584/000159058421000105/rbc-civeoxcreditagreemen.htm" TargetMode="External"/><Relationship Id="rId103" Type="http://schemas.openxmlformats.org/officeDocument/2006/relationships/hyperlink" Target="https://www.sec.gov/Archives/edgar/data/1590584/000159058423000075/rbc-civeoxfirstamendment.htm" TargetMode="External"/><Relationship Id="rId104" Type="http://schemas.openxmlformats.org/officeDocument/2006/relationships/hyperlink" Target="https://www.sec.gov/Archives/edgar/data/1590584/000159058424000130/rbc-civeoxsecondamendmente.htm" TargetMode="External"/><Relationship Id="rId105" Type="http://schemas.openxmlformats.org/officeDocument/2006/relationships/hyperlink" Target="https://www.sec.gov/Archives/edgar/data/1590584/000159058424000137/rbc-civeoxthirdamendmentco.htm" TargetMode="External"/><Relationship Id="rId106" Type="http://schemas.openxmlformats.org/officeDocument/2006/relationships/hyperlink" Target="https://www.sec.gov/Archives/edgar/data/1590584/000159058425000082/a101civeo-firstincremental.htm" TargetMode="External"/><Relationship Id="rId107" Type="http://schemas.openxmlformats.org/officeDocument/2006/relationships/hyperlink" Target="https://www.sec.gov/Archives/edgar/data/1590584/000159058425000138/civeo-cooperationagreement.htm" TargetMode="External"/><Relationship Id="rId110" Type="http://schemas.openxmlformats.org/officeDocument/2006/relationships/hyperlink" Target="https://www.sec.gov/Archives/edgar/data/1590584/000159058419000055/exhibit1032directorsdeferr.htm" TargetMode="External"/><Relationship Id="rId111" Type="http://schemas.openxmlformats.org/officeDocument/2006/relationships/hyperlink" Target="https://www.sec.gov/Archives/edgar/data/1590584/000159058419000055/exhibit1033directorsdeferr.htm" TargetMode="External"/><Relationship Id="rId112" Type="http://schemas.openxmlformats.org/officeDocument/2006/relationships/hyperlink" Target="https://www.sec.gov/Archives/edgar/data/1590584/000159058424000130/a102civeo-formofphantomuni.htm" TargetMode="External"/><Relationship Id="rId113" Type="http://schemas.openxmlformats.org/officeDocument/2006/relationships/hyperlink" Target="https://www.sec.gov/Archives/edgar/data/1590584/000159058424000130/a103bod2023rsagrantletters.htm" TargetMode="External"/><Relationship Id="rId114" Type="http://schemas.openxmlformats.org/officeDocument/2006/relationships/hyperlink" Target="https://www.sec.gov/Archives/edgar/data/1590584/000159058425000082/a102executiveagreement-col.htm" TargetMode="External"/><Relationship Id="rId115" Type="http://schemas.openxmlformats.org/officeDocument/2006/relationships/hyperlink" Target="https://www.sec.gov/Archives/edgar/data/1590584/000159058425000082/a103civeo-barclaybrewerexe.htm" TargetMode="External"/><Relationship Id="rId116" Type="http://schemas.openxmlformats.org/officeDocument/2006/relationships/hyperlink" Target="https://www.sec.gov/Archives/edgar/data/1590584/000159058425000082/a104civeo-andyfraserexecut.htm" TargetMode="External"/><Relationship Id="rId117" Type="http://schemas.openxmlformats.org/officeDocument/2006/relationships/hyperlink" Target="https://www.sec.gov/Archives/edgar/data/1590584/000159058425000120/a101civeo-2025phantomunita.htm" TargetMode="External"/><Relationship Id="rId118" Type="http://schemas.openxmlformats.org/officeDocument/2006/relationships/hyperlink" Target="https://www.sec.gov/Archives/edgar/data/1590584/000159058425000120/a102civeo-2025phantomunita.htm" TargetMode="External"/><Relationship Id="rId119" Type="http://schemas.openxmlformats.org/officeDocument/2006/relationships/hyperlink" Target="https://www.sec.gov/Archives/edgar/data/1590584/000159058425000082/a105aschoeningconsultingag.htm" TargetMode="External"/><Relationship Id="rId120" Type="http://schemas.openxmlformats.org/officeDocument/2006/relationships/hyperlink" Target="https://www.sec.gov/Archives/edgar/data/1590584/000159058425000037/glbcorpol10insidertradingp.htm#i613d13e8d8bd448a808ce074b8ca95d5_1" TargetMode="External"/><Relationship Id="rId121" Type="http://schemas.openxmlformats.org/officeDocument/2006/relationships/hyperlink" Target="https://www.sec.gov/Archives/edgar/data/1590584/000159058424000038/a971glbcorpol17clawbackpo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2026-03-03T15:45:32Z</dcterms:created>
  <dcterms:modified xsi:type="dcterms:W3CDTF">2026-03-03T15:45:32Z</dcterms:modified>
</cp:coreProperties>
</file>