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62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Dodson Bradley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03/02/2025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14,291</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263,894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03/02/2025</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14,291</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249,603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03/02/2025</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14,291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14,291</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42,071</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Corporation common share and is payable in cash. The phantom shares vest at various times based on grant date. 14,291 shares vested on March 2, 2025.</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Bradley J. Dodson,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03/04/2025</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397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2025-03-04T14:40:44Z</dcterms:created>
  <dcterms:modified xsi:type="dcterms:W3CDTF">2025-03-04T14:40:44Z</dcterms:modified>
</cp:coreProperties>
</file>