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Schoening Allan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03/12/2015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Phantom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6"/>
              </w:rPr>
              <w:t>103,879</w:t>
            </w:r>
          </w:p>
        </w:tc>
        <w:tc>
          <w:tcPr>
            <w:tcW w:w="880" w:type="dxa"/>
            <w:vAlign w:val="bottom"/>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Phantom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8"/>
              </w:rPr>
              <w:t>4,337</w:t>
            </w:r>
          </w:p>
        </w:tc>
        <w:tc>
          <w:tcPr>
            <w:tcW w:w="880" w:type="dxa"/>
            <w:vAlign w:val="bottom"/>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Phantom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11,328</w:t>
            </w:r>
          </w:p>
        </w:tc>
        <w:tc>
          <w:tcPr>
            <w:tcW w:w="880" w:type="dxa"/>
            <w:vAlign w:val="bottom"/>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Phantom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8"/>
              </w:rPr>
              <w:t>3,827</w:t>
            </w:r>
          </w:p>
        </w:tc>
        <w:tc>
          <w:tcPr>
            <w:tcW w:w="880" w:type="dxa"/>
            <w:vAlign w:val="bottom"/>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award under the Canadian Long-Term Incentive Plan of Civeo Corporation that vests in equal installments on each of the first three anniversaries of February 11, 2015. Each share of phantom stock is the economic equivalent of one share of Civeo Corporation stock and is payable in cash.</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award under the Canadian Long-Term Incentive Plan of Civeo Corporation that vests in equal installments on each of the first three anniversaries of May 30, 2014. Each share of phantom stock is the economic equivalent of one share of Civeo Corporation stock and is payable in cash.</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award under the Canadian Long-Term Incentive Plan of Civeo Corporation that vests in equal installments on each of the first three anniversaries of February 19, 2014. Each share of phantom stock is the economic equivalent of one share of Civeo Corporation stock and is payable in cash.</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Phantom stock award under the Canadian Long-Term Incentive Plan of Civeo Corporation that vests in equal installments on each of the first three anniversaries of February 19, 2013. Each share of phantom stock is the economic equivalent of one share of Civeo Corporation stock and is payable in cash.</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03/12/2015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EXECUTING FORMS 3, 4 AND 5, FORM 144 AND SCHEDULES 13D AND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Allan Schoening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Allan Schoening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3/12/15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636598"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2019-12-09T04:27:00Z</dcterms:created>
  <dcterms:modified xsi:type="dcterms:W3CDTF">2019-12-09T04:27:00Z</dcterms:modified>
</cp:coreProperties>
</file>