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July 28, 2016</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24" w:right="2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16"/>
        </w:trPr>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tcPr>
          <w:p>
            <w:pPr>
              <w:spacing w:after="0"/>
              <w:rPr>
                <w:sz w:val="18"/>
                <w:szCs w:val="18"/>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80" w:type="dxa"/>
            <w:vAlign w:val="bottom"/>
            <w:tcBorders>
              <w:bottom w:val="single" w:sz="8" w:color="auto"/>
            </w:tcBorders>
          </w:tcPr>
          <w:p>
            <w:pPr>
              <w:spacing w:after="0"/>
              <w:rPr>
                <w:sz w:val="21"/>
                <w:szCs w:val="21"/>
                <w:color w:val="auto"/>
              </w:rPr>
            </w:pPr>
          </w:p>
        </w:tc>
      </w:tr>
      <w:tr>
        <w:trPr>
          <w:trHeight w:val="361"/>
        </w:trPr>
        <w:tc>
          <w:tcPr>
            <w:tcW w:w="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July 28, 2016, Civeo Corporation (the “Company”) issued a press release announcing its financial condition and results of operations for the quarter ended June 30, 2016. A copy of the press release is furnished as Exhibit 99.1 to this report on Form 8-K, and is incorporated herein by reference.</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Exhibits.</w:t>
            </w:r>
          </w:p>
        </w:tc>
        <w:tc>
          <w:tcPr>
            <w:tcW w:w="1920" w:type="dxa"/>
            <w:vAlign w:val="bottom"/>
          </w:tcPr>
          <w:p>
            <w:pPr>
              <w:spacing w:after="0"/>
              <w:rPr>
                <w:sz w:val="20"/>
                <w:szCs w:val="20"/>
                <w:color w:val="auto"/>
              </w:rPr>
            </w:pPr>
          </w:p>
        </w:tc>
        <w:tc>
          <w:tcPr>
            <w:tcW w:w="7960" w:type="dxa"/>
            <w:vAlign w:val="bottom"/>
          </w:tcPr>
          <w:p>
            <w:pPr>
              <w:spacing w:after="0"/>
              <w:rPr>
                <w:sz w:val="20"/>
                <w:szCs w:val="20"/>
                <w:color w:val="auto"/>
              </w:rPr>
            </w:pPr>
          </w:p>
        </w:tc>
      </w:tr>
      <w:tr>
        <w:trPr>
          <w:trHeight w:val="392"/>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53"/>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Press Release dated July 28, 2016</w:t>
            </w:r>
          </w:p>
        </w:tc>
      </w:tr>
      <w:tr>
        <w:trPr>
          <w:trHeight w:val="226"/>
        </w:trPr>
        <w:tc>
          <w:tcPr>
            <w:tcW w:w="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940" w:type="dxa"/>
            <w:vAlign w:val="bottom"/>
            <w:gridSpan w:val="3"/>
          </w:tcPr>
          <w:p>
            <w:pPr>
              <w:ind w:left="206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July 28, 2016</w:t>
            </w:r>
          </w:p>
        </w:tc>
        <w:tc>
          <w:tcPr>
            <w:tcW w:w="7940" w:type="dxa"/>
            <w:vAlign w:val="bottom"/>
            <w:gridSpan w:val="3"/>
          </w:tcPr>
          <w:p>
            <w:pPr>
              <w:ind w:left="2060"/>
              <w:spacing w:after="0"/>
              <w:rPr>
                <w:sz w:val="20"/>
                <w:szCs w:val="20"/>
                <w:color w:val="auto"/>
              </w:rPr>
            </w:pPr>
            <w:r>
              <w:rPr>
                <w:rFonts w:ascii="Arial" w:cs="Arial" w:eastAsia="Arial" w:hAnsi="Arial"/>
                <w:sz w:val="18"/>
                <w:szCs w:val="18"/>
                <w:color w:val="auto"/>
              </w:rPr>
              <w:t>By: /s/ Frank C. Steininger</w:t>
            </w:r>
          </w:p>
        </w:tc>
      </w:tr>
      <w:tr>
        <w:trPr>
          <w:trHeight w:val="222"/>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r>
        <w:trPr>
          <w:trHeight w:val="442"/>
        </w:trPr>
        <w:tc>
          <w:tcPr>
            <w:tcW w:w="34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86"/>
              </w:rPr>
              <w:t>Press Release dated July 28, 2016</w:t>
            </w:r>
          </w:p>
        </w:tc>
      </w:tr>
    </w:tbl>
    <w:p>
      <w:pPr>
        <w:sectPr>
          <w:pgSz w:w="11900" w:h="16838" w:orient="portrait"/>
          <w:cols w:equalWidth="0" w:num="1">
            <w:col w:w="10219"/>
          </w:cols>
          <w:pgMar w:left="240" w:top="297"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Reports Second Quarter 2016 Results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HOUSTON, July 28, 2016 (GLOBE NEWSWIRE) -- Civeo Corporation (NYSE:CVEO) today reported financial and operating results for the second quarter ended June 30, 2016.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right="380"/>
        <w:spacing w:after="0" w:line="251" w:lineRule="auto"/>
        <w:rPr>
          <w:sz w:val="20"/>
          <w:szCs w:val="20"/>
          <w:color w:val="auto"/>
        </w:rPr>
      </w:pPr>
      <w:r>
        <w:rPr>
          <w:rFonts w:ascii="Arial" w:cs="Arial" w:eastAsia="Arial" w:hAnsi="Arial"/>
          <w:sz w:val="22"/>
          <w:szCs w:val="22"/>
          <w:color w:val="auto"/>
        </w:rPr>
        <w:t>Successfully and safely served our customers, first-responders and evacuees through the devastating Ft. McMurray forest fires in Alberta,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400"/>
        <w:spacing w:after="0" w:line="328" w:lineRule="auto"/>
        <w:rPr>
          <w:sz w:val="20"/>
          <w:szCs w:val="20"/>
          <w:color w:val="auto"/>
        </w:rPr>
      </w:pPr>
      <w:r>
        <w:rPr>
          <w:rFonts w:ascii="Arial" w:cs="Arial" w:eastAsia="Arial" w:hAnsi="Arial"/>
          <w:sz w:val="19"/>
          <w:szCs w:val="19"/>
          <w:color w:val="auto"/>
        </w:rPr>
        <w:t>Financial results by each division and on a consolidated basis exceeded initial expectations as the Company continued its cost control diligence and experienced higher occupancy in Canada after the Ft. McMurray forest fires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Reduced debt by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Secured new contracts totaling $21 million in revenue for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operational execution in the second quarter was exceptional in light of the massive forest fires in the oil sands region of Canada and the continuing difficult global macroeconomic environment for commodities. We continued our cost control diligence and positive cash flow generation resulting in further debt reductions,” said Bradley J. Dodson, President and Chief Executive Officer.</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Canadian operations benefited from efforts to reduce our operating costs, as well as increased demand for rooms as a result of the recovery efforts after the forest fires in the Fort McMurray area of Alberta that prompted evacuations both from the town and from nearby oil sands operations in May. Civeo responded by making rooms available both to Fort McMurray residents and firefighters battling the blaze.</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 want to thank our Canadian team for their tireless work during the fire. They successfully ramped up our capacity very rapidly -- without any safety incidents or loss of assets -- and took excellent care of evacuees and emergency responders,” he said.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2016 RESULTS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the second quarter of 2016, the Company generated revenues of $107.0 million and reported a net loss of $11.5 million, or a loss of $0.11 per share, which included the impact of a $0.2 million pre-tax expense related to the Company’s migration to Canada. Adjusted EBITDA was $26.9 million for the quarter, and the Company generated operating cash flow of $23.9 million and free cash flow of $19.2 million as a result of a strict cost containment initiative.</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(EBITDA is a non-GAAP financial measure that is defined as net income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a reconciliation to GAAP measures at the end of this news release.)</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By comparison, in the second quarter of 2015, the Company generated revenues of $143.1 million and a net loss of $13.5 million, or a loss of $0.13 per share, including the impact of a $9.5 million pre-tax ($6.6 million after-tax) charge, or $0.06 per share, for the impairment of certain fixed assets at a village in Australia and a $2.4 million pre-tax ($1.6 million after-tax) expense, or $0.02 per share, in connection with the Company’s migration to Canada. Adjusted EBITDA was $40.7 million, operating cash flow was $45.4 million and free cash flow was $32.7 million during the prior period.</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year-over-year decline in revenues and Adjusted EBITDA was primarily due to lower occupancy levels caused by decreased customer activity in both the Canadian oil sands and Australian mining industries. Revenue and Adjusted EBITDA were also affected by the negative impact of a strengthening U.S. dollar, which appreciated 5% against the Canadian dollar and 4% against the Australian dollar on a year-over-year basis.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(Unless otherwise noted, the following discussion compares the quarterly results for the second quarter of 2016 to the second quarter of 2015. The results discussed below exclude the fixed asset impairment expense and migration charges noted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Canadian segment generated revenues of $77.1 million, operating income of $0.7 million, and Adjusted EBITDA of $23.9 million in the second quarter of 2016 compared to revenues of $90.1 million, operating loss of $3.8 million, and Adjusted EBITDA of $24.5 million in the second quarter of 2015. Results reflect the impact of a weaker Canadian dollar relative to the U.S. dollar, which reduced revenues by $3.7 million and Adjusted EBITDA by $1.1 million.</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a constant currency basis, lodge revenues declined 1% due to lower room rates. However, this was largely offset by an increase in rented rooms due to the Fort McMurray fire in May 2016, as well as the ramping up of the Company’s Mariana Lake Lodge in</w:t>
      </w:r>
    </w:p>
    <w:p>
      <w:pPr>
        <w:sectPr>
          <w:pgSz w:w="11900" w:h="16838" w:orient="portrait"/>
          <w:cols w:equalWidth="0" w:num="1">
            <w:col w:w="11420"/>
          </w:cols>
          <w:pgMar w:left="240" w:top="112" w:right="239" w:bottom="0" w:gutter="0" w:footer="0" w:header="0"/>
        </w:sectPr>
      </w:pPr>
    </w:p>
    <w:bookmarkStart w:id="5" w:name="page6"/>
    <w:bookmarkEnd w:id="5"/>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third quarter and the Sitka Lodge in fourth quarter of 2015. Mobile, open camp and product revenues all declined due to overall lower activity levels.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Australian segment generated revenues of $27.5 million, operating loss of $0.9 million, and Adjusted EBITDA of $11.0 million in the second quarter of 2016, compared to revenues of $38.3 million, operating loss of $4.9 million, and Adjusted EBITDA of $19.5 million in the second quarter of 2015. Results were impacted by a slightly weaker Australian dollar relative to the U.S. dollar, which decreased revenues by $1.2 million and Adjusted EBITDA by $0.5 million. On a constant currency basis, segment revenues declined 25% due to lower occupancy related to the continuing customer activity slowdown in the Australian mining industry, primarily in the Bowen Basin.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U.S. segment generated revenues of $2.4 million, operating loss of $3.8 million, and negative Adjusted EBITDA of $2.4 million in the second quarter of 2016, compared to revenues of $14.8 million, operating loss of $1.8 million, and Adjusted EBITDA of $1.9 million in the second quarter of 2015. Results reflected lower U.S. drilling activity in the Bakken, Rockies and Texas markets, along with decreased sales from Civeo’s offshore business.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an income tax benefit of $0.9 million, which reflected an effective tax rate of 7.7% in the second quarter of 2016. By comparison, during the second quarter 2015, the Company recognized an income tax benefit of $5.9 million, which resulted in an effective tax rate of 30.6%.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June 30, 2016, the Company had total available liquidity of approximately $131.9 million, comprising $129.6 million available under its credit facility and $2.3 million of cash on hand. The Company made $17 million in debt reduction payments during the second quarter, for a total of $28 million in debt reduction payments during the first six months of 2016.</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expenditures totaled $5.1 million in the second quarter compared to $13.4 million spent in the same period last year. Year-to-date, capital expenditures totaled $9.9 million, compared with $24.1 million for the first six months of 2015. Civeo currently expects capital expenditures of approximately $25 million for the full year 2016.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AND FULL YEAR 2016 GUIDANCE</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For the third quarter of 2016, the Company expects revenues of $93 million to $99 million and Adjusted EBITDA of $18 million to $21 million. For the full year 2016, the Company expects revenues of $390 million to $400 million and Adjusted EBITDA of $74 million to $82 million. (Please see a reconciliation to GAAP measures at the end of this news release.)</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commercial decision on a pending LNG Canada project in British Columbia for which the Company was awarded an accommodations construction contract in early May has been delayed; meanwhile, Civeo and its partner, Bird Construction, will continue preliminary planning and engineering work for the new lodge facility. The Company remains optimistic that multiple liquefied natural gas projects that are in the planning stages in British Columbia represent strong growth opportunities for Civeo longer term.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Civeo will host a conference call to discuss its second quarter 2016 financial results tomorrow at 11:00 a.m. Eastern time. This call will be webcast and can be accessed at Civeo’s website at www.civeo.com. Participants may also join the conference call by dialing</w:t>
      </w:r>
    </w:p>
    <w:p>
      <w:pPr>
        <w:spacing w:after="0" w:line="2" w:lineRule="exact"/>
        <w:rPr>
          <w:sz w:val="20"/>
          <w:szCs w:val="20"/>
          <w:color w:val="auto"/>
        </w:rPr>
      </w:pPr>
    </w:p>
    <w:p>
      <w:pPr>
        <w:ind w:firstLine="8"/>
        <w:spacing w:after="0" w:line="308" w:lineRule="auto"/>
        <w:tabs>
          <w:tab w:leader="none" w:pos="523" w:val="left"/>
        </w:tabs>
        <w:numPr>
          <w:ilvl w:val="0"/>
          <w:numId w:val="1"/>
        </w:numPr>
        <w:rPr>
          <w:rFonts w:ascii="Arial" w:cs="Arial" w:eastAsia="Arial" w:hAnsi="Arial"/>
          <w:sz w:val="19"/>
          <w:szCs w:val="19"/>
          <w:color w:val="auto"/>
        </w:rPr>
      </w:pPr>
      <w:r>
        <w:rPr>
          <w:rFonts w:ascii="Arial" w:cs="Arial" w:eastAsia="Arial" w:hAnsi="Arial"/>
          <w:sz w:val="19"/>
          <w:szCs w:val="19"/>
          <w:color w:val="auto"/>
        </w:rPr>
        <w:t>407-0672 in the United States or (412) 902-0003 internationally and asking for the Civeo call. A replay will be available after the call by dialing (877) 660-6853 in the United States or (201) 612-7415 internationally and entering the passcode 13641580#.</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w:t>
      </w:r>
    </w:p>
    <w:p>
      <w:pPr>
        <w:sectPr>
          <w:pgSz w:w="11900" w:h="16917" w:orient="portrait"/>
          <w:cols w:equalWidth="0" w:num="1">
            <w:col w:w="11420"/>
          </w:cols>
          <w:pgMar w:left="240" w:top="118" w:right="239" w:bottom="0" w:gutter="0" w:footer="0" w:header="0"/>
        </w:sectPr>
      </w:pPr>
    </w:p>
    <w:bookmarkStart w:id="6" w:name="page7"/>
    <w:bookmarkEnd w:id="6"/>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the Company’s migration to Canada, including, among other things, risks associated with changes in tax laws or their interpretations, risks associated with the development of new projects, including whether such projects will continue in the future, and other factors discussed in the Company’s annual report on Form 10-K for the year ended December 31, 2015, and other reports the Company may file from time to time with the U.S. Securities and Exchange Commission.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Financial Schedules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8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99"/>
              </w:rPr>
              <w:t>THREE MONTHS</w:t>
            </w:r>
          </w:p>
        </w:tc>
        <w:tc>
          <w:tcPr>
            <w:tcW w:w="180" w:type="dxa"/>
            <w:vAlign w:val="bottom"/>
          </w:tcPr>
          <w:p>
            <w:pPr>
              <w:spacing w:after="0"/>
              <w:rPr>
                <w:sz w:val="21"/>
                <w:szCs w:val="21"/>
                <w:color w:val="auto"/>
              </w:rPr>
            </w:pPr>
          </w:p>
        </w:tc>
        <w:tc>
          <w:tcPr>
            <w:tcW w:w="202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99"/>
              </w:rPr>
              <w:t>SIX MONTHS</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center"/>
              <w:ind w:left="492"/>
              <w:spacing w:after="0" w:line="243" w:lineRule="exact"/>
              <w:rPr>
                <w:sz w:val="20"/>
                <w:szCs w:val="20"/>
                <w:color w:val="auto"/>
              </w:rPr>
            </w:pPr>
            <w:r>
              <w:rPr>
                <w:rFonts w:ascii="Arial" w:cs="Arial" w:eastAsia="Arial" w:hAnsi="Arial"/>
                <w:sz w:val="22"/>
                <w:szCs w:val="22"/>
                <w:b w:val="1"/>
                <w:bCs w:val="1"/>
                <w:color w:val="auto"/>
                <w:w w:val="98"/>
              </w:rPr>
              <w:t>ENDED</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4"/>
          </w:tcPr>
          <w:p>
            <w:pPr>
              <w:jc w:val="center"/>
              <w:ind w:right="72"/>
              <w:spacing w:after="0" w:line="243" w:lineRule="exact"/>
              <w:rPr>
                <w:sz w:val="20"/>
                <w:szCs w:val="20"/>
                <w:color w:val="auto"/>
              </w:rPr>
            </w:pPr>
            <w:r>
              <w:rPr>
                <w:rFonts w:ascii="Arial" w:cs="Arial" w:eastAsia="Arial" w:hAnsi="Arial"/>
                <w:sz w:val="22"/>
                <w:szCs w:val="22"/>
                <w:b w:val="1"/>
                <w:bCs w:val="1"/>
                <w:color w:val="auto"/>
                <w:w w:val="98"/>
              </w:rPr>
              <w:t>ENDED</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92"/>
              </w:rPr>
              <w:t>JUNE 30,</w:t>
            </w:r>
          </w:p>
        </w:tc>
        <w:tc>
          <w:tcPr>
            <w:tcW w:w="180" w:type="dxa"/>
            <w:vAlign w:val="bottom"/>
          </w:tcPr>
          <w:p>
            <w:pPr>
              <w:spacing w:after="0"/>
              <w:rPr>
                <w:sz w:val="23"/>
                <w:szCs w:val="23"/>
                <w:color w:val="auto"/>
              </w:rPr>
            </w:pPr>
          </w:p>
        </w:tc>
        <w:tc>
          <w:tcPr>
            <w:tcW w:w="202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92"/>
              </w:rPr>
              <w:t>JUNE 30,</w:t>
            </w:r>
          </w:p>
        </w:tc>
        <w:tc>
          <w:tcPr>
            <w:tcW w:w="0" w:type="dxa"/>
            <w:vAlign w:val="bottom"/>
          </w:tcPr>
          <w:p>
            <w:pPr>
              <w:spacing w:after="0"/>
              <w:rPr>
                <w:sz w:val="1"/>
                <w:szCs w:val="1"/>
                <w:color w:val="auto"/>
              </w:rPr>
            </w:pPr>
          </w:p>
        </w:tc>
      </w:tr>
      <w:tr>
        <w:trPr>
          <w:trHeight w:val="282"/>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w w:val="89"/>
              </w:rPr>
              <w:t>2015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532"/>
        </w:trPr>
        <w:tc>
          <w:tcPr>
            <w:tcW w:w="6520" w:type="dxa"/>
            <w:vAlign w:val="bottom"/>
          </w:tcPr>
          <w:p>
            <w:pPr>
              <w:spacing w:after="0"/>
              <w:rPr>
                <w:sz w:val="20"/>
                <w:szCs w:val="20"/>
                <w:color w:val="auto"/>
              </w:rPr>
            </w:pPr>
            <w:r>
              <w:rPr>
                <w:rFonts w:ascii="Arial" w:cs="Arial" w:eastAsia="Arial" w:hAnsi="Arial"/>
                <w:sz w:val="22"/>
                <w:szCs w:val="22"/>
                <w:color w:val="auto"/>
              </w:rPr>
              <w:t>Revenues</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107,035</w:t>
            </w:r>
          </w:p>
        </w:tc>
        <w:tc>
          <w:tcPr>
            <w:tcW w:w="8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ind w:right="12"/>
              <w:spacing w:after="0"/>
              <w:rPr>
                <w:sz w:val="20"/>
                <w:szCs w:val="20"/>
                <w:color w:val="auto"/>
              </w:rPr>
            </w:pPr>
            <w:r>
              <w:rPr>
                <w:rFonts w:ascii="Arial" w:cs="Arial" w:eastAsia="Arial" w:hAnsi="Arial"/>
                <w:sz w:val="22"/>
                <w:szCs w:val="22"/>
                <w:color w:val="auto"/>
                <w:w w:val="90"/>
              </w:rPr>
              <w:t>143,147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w w:val="93"/>
              </w:rPr>
              <w:t>202,071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w w:val="95"/>
              </w:rPr>
              <w:t>314,134</w:t>
            </w:r>
          </w:p>
        </w:tc>
        <w:tc>
          <w:tcPr>
            <w:tcW w:w="0" w:type="dxa"/>
            <w:vAlign w:val="bottom"/>
          </w:tcPr>
          <w:p>
            <w:pPr>
              <w:spacing w:after="0"/>
              <w:rPr>
                <w:sz w:val="1"/>
                <w:szCs w:val="1"/>
                <w:color w:val="auto"/>
              </w:rPr>
            </w:pPr>
          </w:p>
        </w:tc>
      </w:tr>
      <w:tr>
        <w:trPr>
          <w:trHeight w:val="536"/>
        </w:trPr>
        <w:tc>
          <w:tcPr>
            <w:tcW w:w="6520" w:type="dxa"/>
            <w:vAlign w:val="bottom"/>
          </w:tcPr>
          <w:p>
            <w:pPr>
              <w:spacing w:after="0"/>
              <w:rPr>
                <w:sz w:val="20"/>
                <w:szCs w:val="20"/>
                <w:color w:val="auto"/>
              </w:rPr>
            </w:pPr>
            <w:r>
              <w:rPr>
                <w:rFonts w:ascii="Arial" w:cs="Arial" w:eastAsia="Arial" w:hAnsi="Arial"/>
                <w:sz w:val="22"/>
                <w:szCs w:val="22"/>
                <w:color w:val="auto"/>
              </w:rPr>
              <w:t>Costs and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Cost of sales and services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64,586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89,424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130,529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95"/>
              </w:rPr>
              <w:t>192,335</w:t>
            </w: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Selling, general and administrative expenses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15,295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18,419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28,412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35,105</w:t>
            </w: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Depreciation and amortization expense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33,168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42,541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66,723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84,987</w:t>
            </w: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Impairment expense</w:t>
            </w:r>
          </w:p>
        </w:tc>
        <w:tc>
          <w:tcPr>
            <w:tcW w:w="26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9,473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8,400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12,211</w:t>
            </w:r>
          </w:p>
        </w:tc>
        <w:tc>
          <w:tcPr>
            <w:tcW w:w="0" w:type="dxa"/>
            <w:vAlign w:val="bottom"/>
          </w:tcPr>
          <w:p>
            <w:pPr>
              <w:spacing w:after="0"/>
              <w:rPr>
                <w:sz w:val="1"/>
                <w:szCs w:val="1"/>
                <w:color w:val="auto"/>
              </w:rPr>
            </w:pPr>
          </w:p>
        </w:tc>
      </w:tr>
      <w:tr>
        <w:trPr>
          <w:trHeight w:val="276"/>
        </w:trPr>
        <w:tc>
          <w:tcPr>
            <w:tcW w:w="6520" w:type="dxa"/>
            <w:vAlign w:val="bottom"/>
          </w:tcPr>
          <w:p>
            <w:pPr>
              <w:ind w:left="200"/>
              <w:spacing w:after="0"/>
              <w:rPr>
                <w:sz w:val="20"/>
                <w:szCs w:val="20"/>
                <w:color w:val="auto"/>
              </w:rPr>
            </w:pPr>
            <w:r>
              <w:rPr>
                <w:rFonts w:ascii="Arial" w:cs="Arial" w:eastAsia="Arial" w:hAnsi="Arial"/>
                <w:sz w:val="22"/>
                <w:szCs w:val="22"/>
                <w:color w:val="auto"/>
              </w:rPr>
              <w:t>Other operating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(2,573)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(1,243)</w:t>
            </w:r>
          </w:p>
        </w:tc>
        <w:tc>
          <w:tcPr>
            <w:tcW w:w="0" w:type="dxa"/>
            <w:vAlign w:val="bottom"/>
          </w:tcPr>
          <w:p>
            <w:pPr>
              <w:spacing w:after="0"/>
              <w:rPr>
                <w:sz w:val="1"/>
                <w:szCs w:val="1"/>
                <w:color w:val="auto"/>
              </w:rPr>
            </w:pPr>
          </w:p>
        </w:tc>
      </w:tr>
      <w:tr>
        <w:trPr>
          <w:trHeight w:val="265"/>
        </w:trPr>
        <w:tc>
          <w:tcPr>
            <w:tcW w:w="6520" w:type="dxa"/>
            <w:vAlign w:val="bottom"/>
            <w:vMerge w:val="restart"/>
          </w:tcPr>
          <w:p>
            <w:pPr>
              <w:spacing w:after="0"/>
              <w:rPr>
                <w:sz w:val="20"/>
                <w:szCs w:val="20"/>
                <w:color w:val="auto"/>
              </w:rPr>
            </w:pPr>
            <w:r>
              <w:rPr>
                <w:rFonts w:ascii="Arial" w:cs="Arial" w:eastAsia="Arial" w:hAnsi="Arial"/>
                <w:sz w:val="22"/>
                <w:szCs w:val="22"/>
                <w:color w:val="auto"/>
              </w:rPr>
              <w:t>Operating loss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113,049</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0"/>
              </w:rPr>
              <w:t>157,284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234,282</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323,395</w:t>
            </w:r>
          </w:p>
        </w:tc>
        <w:tc>
          <w:tcPr>
            <w:tcW w:w="0" w:type="dxa"/>
            <w:vAlign w:val="bottom"/>
          </w:tcPr>
          <w:p>
            <w:pPr>
              <w:spacing w:after="0"/>
              <w:rPr>
                <w:sz w:val="1"/>
                <w:szCs w:val="1"/>
                <w:color w:val="auto"/>
              </w:rPr>
            </w:pPr>
          </w:p>
        </w:tc>
      </w:tr>
      <w:tr>
        <w:trPr>
          <w:trHeight w:val="268"/>
        </w:trPr>
        <w:tc>
          <w:tcPr>
            <w:tcW w:w="652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(6,014)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(14,137)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(32,211)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(9,261)</w:t>
            </w:r>
          </w:p>
        </w:tc>
        <w:tc>
          <w:tcPr>
            <w:tcW w:w="0" w:type="dxa"/>
            <w:vAlign w:val="bottom"/>
          </w:tcPr>
          <w:p>
            <w:pPr>
              <w:spacing w:after="0"/>
              <w:rPr>
                <w:sz w:val="1"/>
                <w:szCs w:val="1"/>
                <w:color w:val="auto"/>
              </w:rPr>
            </w:pPr>
          </w:p>
        </w:tc>
      </w:tr>
      <w:tr>
        <w:trPr>
          <w:trHeight w:val="528"/>
        </w:trPr>
        <w:tc>
          <w:tcPr>
            <w:tcW w:w="6520" w:type="dxa"/>
            <w:vAlign w:val="bottom"/>
          </w:tcPr>
          <w:p>
            <w:pPr>
              <w:spacing w:after="0"/>
              <w:rPr>
                <w:sz w:val="20"/>
                <w:szCs w:val="20"/>
                <w:color w:val="auto"/>
              </w:rPr>
            </w:pPr>
            <w:r>
              <w:rPr>
                <w:rFonts w:ascii="Arial" w:cs="Arial" w:eastAsia="Arial" w:hAnsi="Arial"/>
                <w:sz w:val="22"/>
                <w:szCs w:val="22"/>
                <w:color w:val="auto"/>
              </w:rPr>
              <w:t>Interest expense to third-parties, net of capitalized interest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(5,925)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(6,248)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(10,869)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(11,857)</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6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22"/>
                <w:szCs w:val="22"/>
                <w:color w:val="auto"/>
              </w:rPr>
              <w:t>Interest income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687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1,809</w:t>
            </w: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0"/>
                <w:szCs w:val="20"/>
                <w:color w:val="auto"/>
              </w:rPr>
            </w:pPr>
            <w:r>
              <w:rPr>
                <w:rFonts w:ascii="Arial" w:cs="Arial" w:eastAsia="Arial" w:hAnsi="Arial"/>
                <w:sz w:val="22"/>
                <w:szCs w:val="22"/>
                <w:color w:val="auto"/>
              </w:rPr>
              <w:t>Other income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(392)</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566</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1,564</w:t>
            </w:r>
          </w:p>
        </w:tc>
        <w:tc>
          <w:tcPr>
            <w:tcW w:w="0" w:type="dxa"/>
            <w:vAlign w:val="bottom"/>
          </w:tcPr>
          <w:p>
            <w:pPr>
              <w:spacing w:after="0"/>
              <w:rPr>
                <w:sz w:val="1"/>
                <w:szCs w:val="1"/>
                <w:color w:val="auto"/>
              </w:rPr>
            </w:pPr>
          </w:p>
        </w:tc>
      </w:tr>
      <w:tr>
        <w:trPr>
          <w:trHeight w:val="259"/>
        </w:trPr>
        <w:tc>
          <w:tcPr>
            <w:tcW w:w="6520" w:type="dxa"/>
            <w:vAlign w:val="bottom"/>
          </w:tcPr>
          <w:p>
            <w:pPr>
              <w:ind w:left="200"/>
              <w:spacing w:after="0"/>
              <w:rPr>
                <w:sz w:val="20"/>
                <w:szCs w:val="20"/>
                <w:color w:val="auto"/>
              </w:rPr>
            </w:pPr>
            <w:r>
              <w:rPr>
                <w:rFonts w:ascii="Arial" w:cs="Arial" w:eastAsia="Arial" w:hAnsi="Arial"/>
                <w:sz w:val="22"/>
                <w:szCs w:val="22"/>
                <w:color w:val="auto"/>
              </w:rPr>
              <w:t>Loss before income taxes</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(12,303)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(19,132)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(43,548)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(17,745)</w:t>
            </w: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0"/>
                <w:szCs w:val="20"/>
                <w:color w:val="auto"/>
              </w:rPr>
            </w:pPr>
            <w:r>
              <w:rPr>
                <w:rFonts w:ascii="Arial" w:cs="Arial" w:eastAsia="Arial" w:hAnsi="Arial"/>
                <w:sz w:val="22"/>
                <w:szCs w:val="22"/>
                <w:color w:val="auto"/>
              </w:rPr>
              <w:t>Income tax benefit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949</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5,863</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5,520</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4,706</w:t>
            </w:r>
          </w:p>
        </w:tc>
        <w:tc>
          <w:tcPr>
            <w:tcW w:w="0" w:type="dxa"/>
            <w:vAlign w:val="bottom"/>
          </w:tcPr>
          <w:p>
            <w:pPr>
              <w:spacing w:after="0"/>
              <w:rPr>
                <w:sz w:val="1"/>
                <w:szCs w:val="1"/>
                <w:color w:val="auto"/>
              </w:rPr>
            </w:pPr>
          </w:p>
        </w:tc>
      </w:tr>
      <w:tr>
        <w:trPr>
          <w:trHeight w:val="259"/>
        </w:trPr>
        <w:tc>
          <w:tcPr>
            <w:tcW w:w="6520" w:type="dxa"/>
            <w:vAlign w:val="bottom"/>
          </w:tcPr>
          <w:p>
            <w:pPr>
              <w:spacing w:after="0"/>
              <w:rPr>
                <w:sz w:val="20"/>
                <w:szCs w:val="20"/>
                <w:color w:val="auto"/>
              </w:rPr>
            </w:pPr>
            <w:r>
              <w:rPr>
                <w:rFonts w:ascii="Arial" w:cs="Arial" w:eastAsia="Arial" w:hAnsi="Arial"/>
                <w:sz w:val="22"/>
                <w:szCs w:val="22"/>
                <w:color w:val="auto"/>
              </w:rPr>
              <w:t>Net loss</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(11,354)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(13,269)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(38,028)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(13,039)</w:t>
            </w:r>
          </w:p>
        </w:tc>
        <w:tc>
          <w:tcPr>
            <w:tcW w:w="0" w:type="dxa"/>
            <w:vAlign w:val="bottom"/>
          </w:tcPr>
          <w:p>
            <w:pPr>
              <w:spacing w:after="0"/>
              <w:rPr>
                <w:sz w:val="1"/>
                <w:szCs w:val="1"/>
                <w:color w:val="auto"/>
              </w:rPr>
            </w:pPr>
          </w:p>
        </w:tc>
      </w:tr>
      <w:tr>
        <w:trPr>
          <w:trHeight w:val="275"/>
        </w:trPr>
        <w:tc>
          <w:tcPr>
            <w:tcW w:w="6520" w:type="dxa"/>
            <w:vAlign w:val="bottom"/>
          </w:tcPr>
          <w:p>
            <w:pPr>
              <w:ind w:left="200"/>
              <w:spacing w:after="0"/>
              <w:rPr>
                <w:sz w:val="20"/>
                <w:szCs w:val="20"/>
                <w:color w:val="auto"/>
              </w:rPr>
            </w:pPr>
            <w:r>
              <w:rPr>
                <w:rFonts w:ascii="Arial" w:cs="Arial" w:eastAsia="Arial" w:hAnsi="Arial"/>
                <w:sz w:val="22"/>
                <w:szCs w:val="22"/>
                <w:color w:val="auto"/>
              </w:rPr>
              <w:t>Less: Net income attributable to noncontrolling interest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192</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438</w:t>
            </w:r>
          </w:p>
        </w:tc>
        <w:tc>
          <w:tcPr>
            <w:tcW w:w="0" w:type="dxa"/>
            <w:vAlign w:val="bottom"/>
          </w:tcPr>
          <w:p>
            <w:pPr>
              <w:spacing w:after="0"/>
              <w:rPr>
                <w:sz w:val="1"/>
                <w:szCs w:val="1"/>
                <w:color w:val="auto"/>
              </w:rPr>
            </w:pP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(11,486)</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(13,461)</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(38,308)</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(13,477)</w:t>
            </w:r>
          </w:p>
        </w:tc>
        <w:tc>
          <w:tcPr>
            <w:tcW w:w="0" w:type="dxa"/>
            <w:vAlign w:val="bottom"/>
          </w:tcPr>
          <w:p>
            <w:pPr>
              <w:spacing w:after="0"/>
              <w:rPr>
                <w:sz w:val="1"/>
                <w:szCs w:val="1"/>
                <w:color w:val="auto"/>
              </w:rPr>
            </w:pPr>
          </w:p>
        </w:tc>
      </w:tr>
      <w:tr>
        <w:trPr>
          <w:trHeight w:val="21"/>
        </w:trPr>
        <w:tc>
          <w:tcPr>
            <w:tcW w:w="6520" w:type="dxa"/>
            <w:vAlign w:val="bottom"/>
            <w:vMerge w:val="restart"/>
          </w:tcPr>
          <w:p>
            <w:pPr>
              <w:spacing w:after="0"/>
              <w:rPr>
                <w:sz w:val="20"/>
                <w:szCs w:val="20"/>
                <w:color w:val="auto"/>
              </w:rPr>
            </w:pPr>
            <w:r>
              <w:rPr>
                <w:rFonts w:ascii="Arial" w:cs="Arial" w:eastAsia="Arial" w:hAnsi="Arial"/>
                <w:sz w:val="22"/>
                <w:szCs w:val="22"/>
                <w:color w:val="auto"/>
              </w:rPr>
              <w:t>Net loss per share attributable to Civeo Corporation common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22"/>
                <w:szCs w:val="22"/>
                <w:color w:val="auto"/>
              </w:rPr>
              <w:t>stockholders: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Basic</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(0.36)</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(0.13)</w:t>
            </w:r>
          </w:p>
        </w:tc>
        <w:tc>
          <w:tcPr>
            <w:tcW w:w="0" w:type="dxa"/>
            <w:vAlign w:val="bottom"/>
          </w:tcPr>
          <w:p>
            <w:pPr>
              <w:spacing w:after="0"/>
              <w:rPr>
                <w:sz w:val="1"/>
                <w:szCs w:val="1"/>
                <w:color w:val="auto"/>
              </w:rPr>
            </w:pPr>
          </w:p>
        </w:tc>
      </w:tr>
      <w:tr>
        <w:trPr>
          <w:trHeight w:val="275"/>
        </w:trPr>
        <w:tc>
          <w:tcPr>
            <w:tcW w:w="6520" w:type="dxa"/>
            <w:vAlign w:val="bottom"/>
          </w:tcPr>
          <w:p>
            <w:pPr>
              <w:ind w:left="200"/>
              <w:spacing w:after="0"/>
              <w:rPr>
                <w:sz w:val="20"/>
                <w:szCs w:val="20"/>
                <w:color w:val="auto"/>
              </w:rPr>
            </w:pPr>
            <w:r>
              <w:rPr>
                <w:rFonts w:ascii="Arial" w:cs="Arial" w:eastAsia="Arial" w:hAnsi="Arial"/>
                <w:sz w:val="22"/>
                <w:szCs w:val="22"/>
                <w:color w:val="auto"/>
              </w:rPr>
              <w:t>Diluted</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(0.36)</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(0.13)</w:t>
            </w:r>
          </w:p>
        </w:tc>
        <w:tc>
          <w:tcPr>
            <w:tcW w:w="0" w:type="dxa"/>
            <w:vAlign w:val="bottom"/>
          </w:tcPr>
          <w:p>
            <w:pPr>
              <w:spacing w:after="0"/>
              <w:rPr>
                <w:sz w:val="1"/>
                <w:szCs w:val="1"/>
                <w:color w:val="auto"/>
              </w:rPr>
            </w:pPr>
          </w:p>
        </w:tc>
      </w:tr>
      <w:tr>
        <w:trPr>
          <w:trHeight w:val="536"/>
        </w:trPr>
        <w:tc>
          <w:tcPr>
            <w:tcW w:w="6520" w:type="dxa"/>
            <w:vAlign w:val="bottom"/>
          </w:tcPr>
          <w:p>
            <w:pPr>
              <w:spacing w:after="0"/>
              <w:rPr>
                <w:sz w:val="20"/>
                <w:szCs w:val="20"/>
                <w:color w:val="auto"/>
              </w:rPr>
            </w:pPr>
            <w:r>
              <w:rPr>
                <w:rFonts w:ascii="Arial" w:cs="Arial" w:eastAsia="Arial" w:hAnsi="Arial"/>
                <w:sz w:val="22"/>
                <w:szCs w:val="22"/>
                <w:color w:val="auto"/>
              </w:rPr>
              <w:t>Weighted average number of common shares outstanding: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Arial" w:cs="Arial" w:eastAsia="Arial" w:hAnsi="Arial"/>
                <w:sz w:val="22"/>
                <w:szCs w:val="22"/>
                <w:color w:val="auto"/>
              </w:rPr>
              <w:t>Basic</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107,033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w w:val="90"/>
              </w:rPr>
              <w:t>106,626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106,923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95"/>
              </w:rPr>
              <w:t>106,543</w:t>
            </w:r>
          </w:p>
        </w:tc>
        <w:tc>
          <w:tcPr>
            <w:tcW w:w="0" w:type="dxa"/>
            <w:vAlign w:val="bottom"/>
          </w:tcPr>
          <w:p>
            <w:pPr>
              <w:spacing w:after="0"/>
              <w:rPr>
                <w:sz w:val="1"/>
                <w:szCs w:val="1"/>
                <w:color w:val="auto"/>
              </w:rPr>
            </w:pPr>
          </w:p>
        </w:tc>
      </w:tr>
      <w:tr>
        <w:trPr>
          <w:trHeight w:val="275"/>
        </w:trPr>
        <w:tc>
          <w:tcPr>
            <w:tcW w:w="6520" w:type="dxa"/>
            <w:vAlign w:val="bottom"/>
          </w:tcPr>
          <w:p>
            <w:pPr>
              <w:ind w:left="200"/>
              <w:spacing w:after="0"/>
              <w:rPr>
                <w:sz w:val="20"/>
                <w:szCs w:val="20"/>
                <w:color w:val="auto"/>
              </w:rPr>
            </w:pPr>
            <w:r>
              <w:rPr>
                <w:rFonts w:ascii="Arial" w:cs="Arial" w:eastAsia="Arial" w:hAnsi="Arial"/>
                <w:sz w:val="22"/>
                <w:szCs w:val="22"/>
                <w:color w:val="auto"/>
              </w:rPr>
              <w:t>Diluted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107,033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w w:val="90"/>
              </w:rPr>
              <w:t>106,626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106,923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95"/>
              </w:rPr>
              <w:t>106,543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58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58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(in thousands)</w:t>
      </w:r>
    </w:p>
    <w:p>
      <w:pPr>
        <w:sectPr>
          <w:pgSz w:w="11900" w:h="16877" w:orient="portrait"/>
          <w:cols w:equalWidth="0" w:num="1">
            <w:col w:w="11420"/>
          </w:cols>
          <w:pgMar w:left="240" w:top="118"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Arial" w:cs="Arial" w:eastAsia="Arial" w:hAnsi="Arial"/>
                <w:sz w:val="22"/>
                <w:szCs w:val="22"/>
                <w:b w:val="1"/>
                <w:bCs w:val="1"/>
                <w:color w:val="auto"/>
              </w:rPr>
              <w:t>JUNE 30,</w:t>
            </w:r>
          </w:p>
        </w:tc>
        <w:tc>
          <w:tcPr>
            <w:tcW w:w="1600" w:type="dxa"/>
            <w:vAlign w:val="bottom"/>
            <w:gridSpan w:val="2"/>
          </w:tcPr>
          <w:p>
            <w:pPr>
              <w:jc w:val="right"/>
              <w:spacing w:after="0"/>
              <w:rPr>
                <w:sz w:val="20"/>
                <w:szCs w:val="20"/>
                <w:color w:val="auto"/>
              </w:rPr>
            </w:pPr>
            <w:r>
              <w:rPr>
                <w:rFonts w:ascii="Arial" w:cs="Arial" w:eastAsia="Arial" w:hAnsi="Arial"/>
                <w:sz w:val="22"/>
                <w:szCs w:val="22"/>
                <w:b w:val="1"/>
                <w:bCs w:val="1"/>
                <w:color w:val="auto"/>
                <w:w w:val="95"/>
              </w:rPr>
              <w:t>DECEMBER 31,</w:t>
            </w:r>
          </w:p>
        </w:tc>
        <w:tc>
          <w:tcPr>
            <w:tcW w:w="0" w:type="dxa"/>
            <w:vAlign w:val="bottom"/>
          </w:tcPr>
          <w:p>
            <w:pPr>
              <w:spacing w:after="0"/>
              <w:rPr>
                <w:sz w:val="1"/>
                <w:szCs w:val="1"/>
                <w:color w:val="auto"/>
              </w:rPr>
            </w:pPr>
          </w:p>
        </w:tc>
      </w:tr>
      <w:tr>
        <w:trPr>
          <w:trHeight w:val="281"/>
        </w:trPr>
        <w:tc>
          <w:tcPr>
            <w:tcW w:w="4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78"/>
        </w:trPr>
        <w:tc>
          <w:tcPr>
            <w:tcW w:w="464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500" w:type="dxa"/>
            <w:vAlign w:val="bottom"/>
            <w:gridSpan w:val="2"/>
          </w:tcPr>
          <w:p>
            <w:pPr>
              <w:ind w:left="20"/>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240" w:type="dxa"/>
            <w:vAlign w:val="bottom"/>
          </w:tcPr>
          <w:p>
            <w:pPr>
              <w:ind w:left="40"/>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2,255</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7,837</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72,404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61,467</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4,931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5,631</w:t>
            </w:r>
          </w:p>
        </w:tc>
        <w:tc>
          <w:tcPr>
            <w:tcW w:w="0" w:type="dxa"/>
            <w:vAlign w:val="bottom"/>
          </w:tcPr>
          <w:p>
            <w:pPr>
              <w:spacing w:after="0"/>
              <w:rPr>
                <w:sz w:val="1"/>
                <w:szCs w:val="1"/>
                <w:color w:val="auto"/>
              </w:rPr>
            </w:pPr>
          </w:p>
        </w:tc>
      </w:tr>
      <w:tr>
        <w:trPr>
          <w:trHeight w:val="275"/>
        </w:trPr>
        <w:tc>
          <w:tcPr>
            <w:tcW w:w="464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22,139</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15,024</w:t>
            </w:r>
          </w:p>
        </w:tc>
        <w:tc>
          <w:tcPr>
            <w:tcW w:w="0" w:type="dxa"/>
            <w:vAlign w:val="bottom"/>
          </w:tcPr>
          <w:p>
            <w:pPr>
              <w:spacing w:after="0"/>
              <w:rPr>
                <w:sz w:val="1"/>
                <w:szCs w:val="1"/>
                <w:color w:val="auto"/>
              </w:rPr>
            </w:pPr>
          </w:p>
        </w:tc>
      </w:tr>
      <w:tr>
        <w:trPr>
          <w:trHeight w:val="272"/>
        </w:trPr>
        <w:tc>
          <w:tcPr>
            <w:tcW w:w="4640" w:type="dxa"/>
            <w:vAlign w:val="bottom"/>
          </w:tcPr>
          <w:p>
            <w:pPr>
              <w:ind w:left="320"/>
              <w:spacing w:after="0"/>
              <w:rPr>
                <w:sz w:val="20"/>
                <w:szCs w:val="20"/>
                <w:color w:val="auto"/>
              </w:rPr>
            </w:pPr>
            <w:r>
              <w:rPr>
                <w:rFonts w:ascii="Arial" w:cs="Arial" w:eastAsia="Arial" w:hAnsi="Arial"/>
                <w:sz w:val="22"/>
                <w:szCs w:val="22"/>
                <w:color w:val="auto"/>
              </w:rPr>
              <w:t>Total current assets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101,729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89,959</w:t>
            </w:r>
          </w:p>
        </w:tc>
        <w:tc>
          <w:tcPr>
            <w:tcW w:w="0" w:type="dxa"/>
            <w:vAlign w:val="bottom"/>
          </w:tcPr>
          <w:p>
            <w:pPr>
              <w:spacing w:after="0"/>
              <w:rPr>
                <w:sz w:val="1"/>
                <w:szCs w:val="1"/>
                <w:color w:val="auto"/>
              </w:rPr>
            </w:pPr>
          </w:p>
        </w:tc>
      </w:tr>
      <w:tr>
        <w:trPr>
          <w:trHeight w:val="528"/>
        </w:trPr>
        <w:tc>
          <w:tcPr>
            <w:tcW w:w="464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2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906,322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931,914</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32,359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35,309</w:t>
            </w:r>
          </w:p>
        </w:tc>
        <w:tc>
          <w:tcPr>
            <w:tcW w:w="0" w:type="dxa"/>
            <w:vAlign w:val="bottom"/>
          </w:tcPr>
          <w:p>
            <w:pPr>
              <w:spacing w:after="0"/>
              <w:rPr>
                <w:sz w:val="1"/>
                <w:szCs w:val="1"/>
                <w:color w:val="auto"/>
              </w:rPr>
            </w:pPr>
          </w:p>
        </w:tc>
      </w:tr>
      <w:tr>
        <w:trPr>
          <w:trHeight w:val="276"/>
        </w:trPr>
        <w:tc>
          <w:tcPr>
            <w:tcW w:w="464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11,120</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9,347</w:t>
            </w:r>
          </w:p>
        </w:tc>
        <w:tc>
          <w:tcPr>
            <w:tcW w:w="0" w:type="dxa"/>
            <w:vAlign w:val="bottom"/>
          </w:tcPr>
          <w:p>
            <w:pPr>
              <w:spacing w:after="0"/>
              <w:rPr>
                <w:sz w:val="1"/>
                <w:szCs w:val="1"/>
                <w:color w:val="auto"/>
              </w:rPr>
            </w:pPr>
          </w:p>
        </w:tc>
      </w:tr>
      <w:tr>
        <w:trPr>
          <w:trHeight w:val="265"/>
        </w:trPr>
        <w:tc>
          <w:tcPr>
            <w:tcW w:w="4640" w:type="dxa"/>
            <w:vAlign w:val="bottom"/>
          </w:tcPr>
          <w:p>
            <w:pPr>
              <w:ind w:left="320"/>
              <w:spacing w:after="0"/>
              <w:rPr>
                <w:sz w:val="20"/>
                <w:szCs w:val="20"/>
                <w:color w:val="auto"/>
              </w:rPr>
            </w:pPr>
            <w:r>
              <w:rPr>
                <w:rFonts w:ascii="Arial" w:cs="Arial" w:eastAsia="Arial" w:hAnsi="Arial"/>
                <w:sz w:val="22"/>
                <w:szCs w:val="22"/>
                <w:color w:val="auto"/>
              </w:rPr>
              <w:t>Total assets</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1,051,530</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1,066,529</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240" w:type="dxa"/>
            <w:vAlign w:val="bottom"/>
          </w:tcPr>
          <w:p>
            <w:pPr>
              <w:ind w:left="40"/>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33,236</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24,609</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Accrued liabilities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12,475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14,834</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Income taxes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44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1,104</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Current portion of long-term debt</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15,934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17,461</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Deferred revenue</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14,053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7,747</w:t>
            </w:r>
          </w:p>
        </w:tc>
        <w:tc>
          <w:tcPr>
            <w:tcW w:w="0" w:type="dxa"/>
            <w:vAlign w:val="bottom"/>
          </w:tcPr>
          <w:p>
            <w:pPr>
              <w:spacing w:after="0"/>
              <w:rPr>
                <w:sz w:val="1"/>
                <w:szCs w:val="1"/>
                <w:color w:val="auto"/>
              </w:rPr>
            </w:pPr>
          </w:p>
        </w:tc>
      </w:tr>
      <w:tr>
        <w:trPr>
          <w:trHeight w:val="275"/>
        </w:trPr>
        <w:tc>
          <w:tcPr>
            <w:tcW w:w="4640" w:type="dxa"/>
            <w:vAlign w:val="bottom"/>
          </w:tcPr>
          <w:p>
            <w:pPr>
              <w:ind w:left="200"/>
              <w:spacing w:after="0"/>
              <w:rPr>
                <w:sz w:val="20"/>
                <w:szCs w:val="20"/>
                <w:color w:val="auto"/>
              </w:rPr>
            </w:pPr>
            <w:r>
              <w:rPr>
                <w:rFonts w:ascii="Arial" w:cs="Arial" w:eastAsia="Arial" w:hAnsi="Arial"/>
                <w:sz w:val="22"/>
                <w:szCs w:val="22"/>
                <w:color w:val="auto"/>
              </w:rPr>
              <w:t>Other current liabilities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493</w:t>
            </w:r>
          </w:p>
        </w:tc>
        <w:tc>
          <w:tcPr>
            <w:tcW w:w="0" w:type="dxa"/>
            <w:vAlign w:val="bottom"/>
          </w:tcPr>
          <w:p>
            <w:pPr>
              <w:spacing w:after="0"/>
              <w:rPr>
                <w:sz w:val="1"/>
                <w:szCs w:val="1"/>
                <w:color w:val="auto"/>
              </w:rPr>
            </w:pPr>
          </w:p>
        </w:tc>
      </w:tr>
      <w:tr>
        <w:trPr>
          <w:trHeight w:val="272"/>
        </w:trPr>
        <w:tc>
          <w:tcPr>
            <w:tcW w:w="4640" w:type="dxa"/>
            <w:vAlign w:val="bottom"/>
          </w:tcPr>
          <w:p>
            <w:pPr>
              <w:ind w:left="320"/>
              <w:spacing w:after="0"/>
              <w:rPr>
                <w:sz w:val="20"/>
                <w:szCs w:val="20"/>
                <w:color w:val="auto"/>
              </w:rPr>
            </w:pPr>
            <w:r>
              <w:rPr>
                <w:rFonts w:ascii="Arial" w:cs="Arial" w:eastAsia="Arial" w:hAnsi="Arial"/>
                <w:sz w:val="22"/>
                <w:szCs w:val="22"/>
                <w:color w:val="auto"/>
              </w:rPr>
              <w:t>Total current liabilities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76,036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66,248</w:t>
            </w:r>
          </w:p>
        </w:tc>
        <w:tc>
          <w:tcPr>
            <w:tcW w:w="0" w:type="dxa"/>
            <w:vAlign w:val="bottom"/>
          </w:tcPr>
          <w:p>
            <w:pPr>
              <w:spacing w:after="0"/>
              <w:rPr>
                <w:sz w:val="1"/>
                <w:szCs w:val="1"/>
                <w:color w:val="auto"/>
              </w:rPr>
            </w:pPr>
          </w:p>
        </w:tc>
      </w:tr>
      <w:tr>
        <w:trPr>
          <w:trHeight w:val="528"/>
        </w:trPr>
        <w:tc>
          <w:tcPr>
            <w:tcW w:w="464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2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375,183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379,416</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Deferred income taxes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22,270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25,391</w:t>
            </w:r>
          </w:p>
        </w:tc>
        <w:tc>
          <w:tcPr>
            <w:tcW w:w="0" w:type="dxa"/>
            <w:vAlign w:val="bottom"/>
          </w:tcPr>
          <w:p>
            <w:pPr>
              <w:spacing w:after="0"/>
              <w:rPr>
                <w:sz w:val="1"/>
                <w:szCs w:val="1"/>
                <w:color w:val="auto"/>
              </w:rPr>
            </w:pP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32,375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31,704</w:t>
            </w:r>
          </w:p>
        </w:tc>
        <w:tc>
          <w:tcPr>
            <w:tcW w:w="0" w:type="dxa"/>
            <w:vAlign w:val="bottom"/>
          </w:tcPr>
          <w:p>
            <w:pPr>
              <w:spacing w:after="0"/>
              <w:rPr>
                <w:sz w:val="1"/>
                <w:szCs w:val="1"/>
                <w:color w:val="auto"/>
              </w:rPr>
            </w:pPr>
          </w:p>
        </w:tc>
      </w:tr>
      <w:tr>
        <w:trPr>
          <w:trHeight w:val="272"/>
        </w:trPr>
        <w:tc>
          <w:tcPr>
            <w:tcW w:w="4640" w:type="dxa"/>
            <w:vAlign w:val="bottom"/>
          </w:tcPr>
          <w:p>
            <w:pPr>
              <w:ind w:left="320"/>
              <w:spacing w:after="0"/>
              <w:rPr>
                <w:sz w:val="20"/>
                <w:szCs w:val="20"/>
                <w:color w:val="auto"/>
              </w:rPr>
            </w:pPr>
            <w:r>
              <w:rPr>
                <w:rFonts w:ascii="Arial" w:cs="Arial" w:eastAsia="Arial" w:hAnsi="Arial"/>
                <w:sz w:val="22"/>
                <w:szCs w:val="22"/>
                <w:color w:val="auto"/>
              </w:rPr>
              <w:t>Total liabilities</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505,864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502,759</w:t>
            </w:r>
          </w:p>
        </w:tc>
        <w:tc>
          <w:tcPr>
            <w:tcW w:w="0" w:type="dxa"/>
            <w:vAlign w:val="bottom"/>
          </w:tcPr>
          <w:p>
            <w:pPr>
              <w:spacing w:after="0"/>
              <w:rPr>
                <w:sz w:val="1"/>
                <w:szCs w:val="1"/>
                <w:color w:val="auto"/>
              </w:rPr>
            </w:pPr>
          </w:p>
        </w:tc>
      </w:tr>
      <w:tr>
        <w:trPr>
          <w:trHeight w:val="528"/>
        </w:trPr>
        <w:tc>
          <w:tcPr>
            <w:tcW w:w="4640" w:type="dxa"/>
            <w:vAlign w:val="bottom"/>
          </w:tcPr>
          <w:p>
            <w:pPr>
              <w:spacing w:after="0"/>
              <w:rPr>
                <w:sz w:val="20"/>
                <w:szCs w:val="20"/>
                <w:color w:val="auto"/>
              </w:rPr>
            </w:pPr>
            <w:r>
              <w:rPr>
                <w:rFonts w:ascii="Arial" w:cs="Arial" w:eastAsia="Arial" w:hAnsi="Arial"/>
                <w:sz w:val="22"/>
                <w:szCs w:val="22"/>
                <w:color w:val="auto"/>
              </w:rPr>
              <w:t>Shareholders'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20"/>
              <w:spacing w:after="0"/>
              <w:rPr>
                <w:sz w:val="20"/>
                <w:szCs w:val="20"/>
                <w:color w:val="auto"/>
              </w:rPr>
            </w:pPr>
            <w:r>
              <w:rPr>
                <w:rFonts w:ascii="Arial" w:cs="Arial" w:eastAsia="Arial" w:hAnsi="Arial"/>
                <w:sz w:val="22"/>
                <w:szCs w:val="22"/>
                <w:color w:val="auto"/>
              </w:rPr>
              <w:t>Common shares</w:t>
            </w:r>
          </w:p>
        </w:tc>
        <w:tc>
          <w:tcPr>
            <w:tcW w:w="24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640" w:type="dxa"/>
            <w:vAlign w:val="bottom"/>
          </w:tcPr>
          <w:p>
            <w:pPr>
              <w:ind w:left="320"/>
              <w:spacing w:after="0"/>
              <w:rPr>
                <w:sz w:val="20"/>
                <w:szCs w:val="20"/>
                <w:color w:val="auto"/>
              </w:rPr>
            </w:pPr>
            <w:r>
              <w:rPr>
                <w:rFonts w:ascii="Arial" w:cs="Arial" w:eastAsia="Arial" w:hAnsi="Arial"/>
                <w:sz w:val="22"/>
                <w:szCs w:val="22"/>
                <w:color w:val="auto"/>
              </w:rPr>
              <w:t>Additional paid-in capital</w:t>
            </w:r>
          </w:p>
        </w:tc>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1,309,007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1,305,930</w:t>
            </w:r>
          </w:p>
        </w:tc>
        <w:tc>
          <w:tcPr>
            <w:tcW w:w="0" w:type="dxa"/>
            <w:vAlign w:val="bottom"/>
          </w:tcPr>
          <w:p>
            <w:pPr>
              <w:spacing w:after="0"/>
              <w:rPr>
                <w:sz w:val="1"/>
                <w:szCs w:val="1"/>
                <w:color w:val="auto"/>
              </w:rPr>
            </w:pPr>
          </w:p>
        </w:tc>
      </w:tr>
      <w:tr>
        <w:trPr>
          <w:trHeight w:val="270"/>
        </w:trPr>
        <w:tc>
          <w:tcPr>
            <w:tcW w:w="4640" w:type="dxa"/>
            <w:vAlign w:val="bottom"/>
          </w:tcPr>
          <w:p>
            <w:pPr>
              <w:ind w:left="320"/>
              <w:spacing w:after="0"/>
              <w:rPr>
                <w:sz w:val="20"/>
                <w:szCs w:val="20"/>
                <w:color w:val="auto"/>
              </w:rPr>
            </w:pPr>
            <w:r>
              <w:rPr>
                <w:rFonts w:ascii="Arial" w:cs="Arial" w:eastAsia="Arial" w:hAnsi="Arial"/>
                <w:sz w:val="22"/>
                <w:szCs w:val="22"/>
                <w:color w:val="auto"/>
              </w:rPr>
              <w:t>Accumulated deficit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(414,684)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(376,376)</w:t>
            </w:r>
          </w:p>
        </w:tc>
        <w:tc>
          <w:tcPr>
            <w:tcW w:w="0" w:type="dxa"/>
            <w:vAlign w:val="bottom"/>
          </w:tcPr>
          <w:p>
            <w:pPr>
              <w:spacing w:after="0"/>
              <w:rPr>
                <w:sz w:val="1"/>
                <w:szCs w:val="1"/>
                <w:color w:val="auto"/>
              </w:rPr>
            </w:pPr>
          </w:p>
        </w:tc>
      </w:tr>
      <w:tr>
        <w:trPr>
          <w:trHeight w:val="270"/>
        </w:trPr>
        <w:tc>
          <w:tcPr>
            <w:tcW w:w="4640" w:type="dxa"/>
            <w:vAlign w:val="bottom"/>
          </w:tcPr>
          <w:p>
            <w:pPr>
              <w:ind w:left="320"/>
              <w:spacing w:after="0"/>
              <w:rPr>
                <w:sz w:val="20"/>
                <w:szCs w:val="20"/>
                <w:color w:val="auto"/>
              </w:rPr>
            </w:pPr>
            <w:r>
              <w:rPr>
                <w:rFonts w:ascii="Arial" w:cs="Arial" w:eastAsia="Arial" w:hAnsi="Arial"/>
                <w:sz w:val="22"/>
                <w:szCs w:val="22"/>
                <w:color w:val="auto"/>
              </w:rPr>
              <w:t>Treasury stock</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4640" w:type="dxa"/>
            <w:vAlign w:val="bottom"/>
          </w:tcPr>
          <w:p>
            <w:pPr>
              <w:ind w:left="320"/>
              <w:spacing w:after="0"/>
              <w:rPr>
                <w:sz w:val="20"/>
                <w:szCs w:val="20"/>
                <w:color w:val="auto"/>
              </w:rPr>
            </w:pPr>
            <w:r>
              <w:rPr>
                <w:rFonts w:ascii="Arial" w:cs="Arial" w:eastAsia="Arial" w:hAnsi="Arial"/>
                <w:sz w:val="22"/>
                <w:szCs w:val="22"/>
                <w:color w:val="auto"/>
              </w:rPr>
              <w:t>Accumulated other comprehensive loss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(349,437)</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(366,309)</w:t>
            </w:r>
          </w:p>
        </w:tc>
        <w:tc>
          <w:tcPr>
            <w:tcW w:w="0" w:type="dxa"/>
            <w:vAlign w:val="bottom"/>
          </w:tcPr>
          <w:p>
            <w:pPr>
              <w:spacing w:after="0"/>
              <w:rPr>
                <w:sz w:val="1"/>
                <w:szCs w:val="1"/>
                <w:color w:val="auto"/>
              </w:rPr>
            </w:pPr>
          </w:p>
        </w:tc>
      </w:tr>
      <w:tr>
        <w:trPr>
          <w:trHeight w:val="267"/>
        </w:trPr>
        <w:tc>
          <w:tcPr>
            <w:tcW w:w="4640" w:type="dxa"/>
            <w:vAlign w:val="bottom"/>
          </w:tcPr>
          <w:p>
            <w:pPr>
              <w:ind w:left="560"/>
              <w:spacing w:after="0"/>
              <w:rPr>
                <w:sz w:val="20"/>
                <w:szCs w:val="20"/>
                <w:color w:val="auto"/>
              </w:rPr>
            </w:pPr>
            <w:r>
              <w:rPr>
                <w:rFonts w:ascii="Arial" w:cs="Arial" w:eastAsia="Arial" w:hAnsi="Arial"/>
                <w:sz w:val="22"/>
                <w:szCs w:val="22"/>
                <w:color w:val="auto"/>
                <w:w w:val="93"/>
              </w:rPr>
              <w:t>Total Civeo Corporation shareholders' equity</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544,821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563,245</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845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525</w:t>
            </w:r>
          </w:p>
        </w:tc>
        <w:tc>
          <w:tcPr>
            <w:tcW w:w="0" w:type="dxa"/>
            <w:vAlign w:val="bottom"/>
          </w:tcPr>
          <w:p>
            <w:pPr>
              <w:spacing w:after="0"/>
              <w:rPr>
                <w:sz w:val="1"/>
                <w:szCs w:val="1"/>
                <w:color w:val="auto"/>
              </w:rPr>
            </w:pPr>
          </w:p>
        </w:tc>
      </w:tr>
      <w:tr>
        <w:trPr>
          <w:trHeight w:val="264"/>
        </w:trPr>
        <w:tc>
          <w:tcPr>
            <w:tcW w:w="4640" w:type="dxa"/>
            <w:vAlign w:val="bottom"/>
          </w:tcPr>
          <w:p>
            <w:pPr>
              <w:ind w:left="200"/>
              <w:spacing w:after="0"/>
              <w:rPr>
                <w:sz w:val="20"/>
                <w:szCs w:val="20"/>
                <w:color w:val="auto"/>
              </w:rPr>
            </w:pPr>
            <w:r>
              <w:rPr>
                <w:rFonts w:ascii="Arial" w:cs="Arial" w:eastAsia="Arial" w:hAnsi="Arial"/>
                <w:sz w:val="22"/>
                <w:szCs w:val="22"/>
                <w:color w:val="auto"/>
              </w:rPr>
              <w:t>Total shareholders' equity</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545,666</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563,770</w:t>
            </w:r>
          </w:p>
        </w:tc>
        <w:tc>
          <w:tcPr>
            <w:tcW w:w="0" w:type="dxa"/>
            <w:vAlign w:val="bottom"/>
          </w:tcPr>
          <w:p>
            <w:pPr>
              <w:spacing w:after="0"/>
              <w:rPr>
                <w:sz w:val="1"/>
                <w:szCs w:val="1"/>
                <w:color w:val="auto"/>
              </w:rPr>
            </w:pPr>
          </w:p>
        </w:tc>
      </w:tr>
      <w:tr>
        <w:trPr>
          <w:trHeight w:val="264"/>
        </w:trPr>
        <w:tc>
          <w:tcPr>
            <w:tcW w:w="4640" w:type="dxa"/>
            <w:vAlign w:val="bottom"/>
          </w:tcPr>
          <w:p>
            <w:pPr>
              <w:ind w:left="320"/>
              <w:spacing w:after="0"/>
              <w:rPr>
                <w:sz w:val="20"/>
                <w:szCs w:val="20"/>
                <w:color w:val="auto"/>
              </w:rPr>
            </w:pPr>
            <w:r>
              <w:rPr>
                <w:rFonts w:ascii="Arial" w:cs="Arial" w:eastAsia="Arial" w:hAnsi="Arial"/>
                <w:sz w:val="22"/>
                <w:szCs w:val="22"/>
                <w:color w:val="auto"/>
              </w:rPr>
              <w:t>Total liabilities and shareholders' equity</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1,051,530</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1,066,529</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07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4660"/>
        <w:spacing w:after="0"/>
        <w:rPr>
          <w:sz w:val="20"/>
          <w:szCs w:val="20"/>
          <w:color w:val="auto"/>
        </w:rPr>
      </w:pPr>
      <w:r>
        <w:rPr>
          <w:rFonts w:ascii="Arial" w:cs="Arial" w:eastAsia="Arial" w:hAnsi="Arial"/>
          <w:sz w:val="22"/>
          <w:szCs w:val="22"/>
          <w:b w:val="1"/>
          <w:bCs w:val="1"/>
          <w:color w:val="auto"/>
        </w:rPr>
        <w:t>SIX MONTHS ENDED</w:t>
      </w:r>
    </w:p>
    <w:p>
      <w:pPr>
        <w:spacing w:after="0" w:line="14" w:lineRule="exact"/>
        <w:rPr>
          <w:sz w:val="20"/>
          <w:szCs w:val="20"/>
          <w:color w:val="auto"/>
        </w:rPr>
      </w:pPr>
    </w:p>
    <w:p>
      <w:pPr>
        <w:jc w:val="center"/>
        <w:ind w:left="4660"/>
        <w:spacing w:after="0"/>
        <w:rPr>
          <w:sz w:val="20"/>
          <w:szCs w:val="20"/>
          <w:color w:val="auto"/>
        </w:rPr>
      </w:pPr>
      <w:r>
        <w:rPr>
          <w:rFonts w:ascii="Arial" w:cs="Arial" w:eastAsia="Arial" w:hAnsi="Arial"/>
          <w:sz w:val="22"/>
          <w:szCs w:val="22"/>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920" w:type="dxa"/>
            <w:vAlign w:val="bottom"/>
          </w:tcPr>
          <w:p>
            <w:pPr>
              <w:spacing w:after="0"/>
              <w:rPr>
                <w:sz w:val="23"/>
                <w:szCs w:val="23"/>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2015</w:t>
            </w:r>
          </w:p>
        </w:tc>
      </w:tr>
      <w:tr>
        <w:trPr>
          <w:trHeight w:val="526"/>
        </w:trPr>
        <w:tc>
          <w:tcPr>
            <w:tcW w:w="692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rPr>
              <w:t>Net loss</w:t>
            </w:r>
          </w:p>
        </w:tc>
        <w:tc>
          <w:tcPr>
            <w:tcW w:w="1040" w:type="dxa"/>
            <w:vAlign w:val="bottom"/>
          </w:tcPr>
          <w:p>
            <w:pPr>
              <w:jc w:val="right"/>
              <w:spacing w:after="0"/>
              <w:rPr>
                <w:sz w:val="20"/>
                <w:szCs w:val="20"/>
                <w:color w:val="auto"/>
              </w:rPr>
            </w:pPr>
            <w:r>
              <w:rPr>
                <w:rFonts w:ascii="Arial" w:cs="Arial" w:eastAsia="Arial" w:hAnsi="Arial"/>
                <w:sz w:val="22"/>
                <w:szCs w:val="22"/>
                <w:color w:val="auto"/>
                <w:w w:val="93"/>
              </w:rPr>
              <w:t>$  (38,028)</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(13,039)</w:t>
            </w:r>
          </w:p>
        </w:tc>
      </w:tr>
      <w:tr>
        <w:trPr>
          <w:trHeight w:val="270"/>
        </w:trPr>
        <w:tc>
          <w:tcPr>
            <w:tcW w:w="6920" w:type="dxa"/>
            <w:vAlign w:val="bottom"/>
          </w:tcPr>
          <w:p>
            <w:pPr>
              <w:spacing w:after="0"/>
              <w:rPr>
                <w:sz w:val="20"/>
                <w:szCs w:val="20"/>
                <w:color w:val="auto"/>
              </w:rPr>
            </w:pPr>
            <w:r>
              <w:rPr>
                <w:rFonts w:ascii="Arial" w:cs="Arial" w:eastAsia="Arial" w:hAnsi="Arial"/>
                <w:sz w:val="22"/>
                <w:szCs w:val="22"/>
                <w:color w:val="auto"/>
                <w:w w:val="92"/>
              </w:rPr>
              <w:t>Adjustments to reconcile net loss to net cash provided by operating activities:</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Depreciation and amortization</w:t>
            </w:r>
          </w:p>
        </w:tc>
        <w:tc>
          <w:tcPr>
            <w:tcW w:w="1040" w:type="dxa"/>
            <w:vAlign w:val="bottom"/>
          </w:tcPr>
          <w:p>
            <w:pPr>
              <w:jc w:val="right"/>
              <w:spacing w:after="0"/>
              <w:rPr>
                <w:sz w:val="20"/>
                <w:szCs w:val="20"/>
                <w:color w:val="auto"/>
              </w:rPr>
            </w:pPr>
            <w:r>
              <w:rPr>
                <w:rFonts w:ascii="Arial" w:cs="Arial" w:eastAsia="Arial" w:hAnsi="Arial"/>
                <w:sz w:val="22"/>
                <w:szCs w:val="22"/>
                <w:color w:val="auto"/>
              </w:rPr>
              <w:t>66,723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84,987</w:t>
            </w: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Impairment charges</w:t>
            </w:r>
          </w:p>
        </w:tc>
        <w:tc>
          <w:tcPr>
            <w:tcW w:w="1040" w:type="dxa"/>
            <w:vAlign w:val="bottom"/>
          </w:tcPr>
          <w:p>
            <w:pPr>
              <w:jc w:val="right"/>
              <w:spacing w:after="0"/>
              <w:rPr>
                <w:sz w:val="20"/>
                <w:szCs w:val="20"/>
                <w:color w:val="auto"/>
              </w:rPr>
            </w:pPr>
            <w:r>
              <w:rPr>
                <w:rFonts w:ascii="Arial" w:cs="Arial" w:eastAsia="Arial" w:hAnsi="Arial"/>
                <w:sz w:val="22"/>
                <w:szCs w:val="22"/>
                <w:color w:val="auto"/>
              </w:rPr>
              <w:t>8,400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12,211</w:t>
            </w: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Inventory write-down</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1,015</w:t>
            </w: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Loss on extinguishment of debt</w:t>
            </w:r>
          </w:p>
        </w:tc>
        <w:tc>
          <w:tcPr>
            <w:tcW w:w="1040" w:type="dxa"/>
            <w:vAlign w:val="bottom"/>
          </w:tcPr>
          <w:p>
            <w:pPr>
              <w:jc w:val="right"/>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5"/>
        </w:trPr>
        <w:tc>
          <w:tcPr>
            <w:tcW w:w="6920" w:type="dxa"/>
            <w:vAlign w:val="bottom"/>
          </w:tcPr>
          <w:p>
            <w:pPr>
              <w:ind w:left="200"/>
              <w:spacing w:after="0"/>
              <w:rPr>
                <w:sz w:val="20"/>
                <w:szCs w:val="20"/>
                <w:color w:val="auto"/>
              </w:rPr>
            </w:pPr>
            <w:r>
              <w:rPr>
                <w:rFonts w:ascii="Arial" w:cs="Arial" w:eastAsia="Arial" w:hAnsi="Arial"/>
                <w:sz w:val="22"/>
                <w:szCs w:val="22"/>
                <w:color w:val="auto"/>
              </w:rPr>
              <w:t>Deferred income tax benefit</w:t>
            </w:r>
          </w:p>
        </w:tc>
        <w:tc>
          <w:tcPr>
            <w:tcW w:w="1040" w:type="dxa"/>
            <w:vAlign w:val="bottom"/>
          </w:tcPr>
          <w:p>
            <w:pPr>
              <w:jc w:val="right"/>
              <w:spacing w:after="0"/>
              <w:rPr>
                <w:sz w:val="20"/>
                <w:szCs w:val="20"/>
                <w:color w:val="auto"/>
              </w:rPr>
            </w:pPr>
            <w:r>
              <w:rPr>
                <w:rFonts w:ascii="Arial" w:cs="Arial" w:eastAsia="Arial" w:hAnsi="Arial"/>
                <w:sz w:val="22"/>
                <w:szCs w:val="22"/>
                <w:color w:val="auto"/>
              </w:rPr>
              <w:t>(8,026)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(7,469)</w:t>
            </w:r>
          </w:p>
        </w:tc>
      </w:tr>
    </w:tbl>
    <w:p>
      <w:pPr>
        <w:sectPr>
          <w:pgSz w:w="11900" w:h="16838" w:orient="portrait"/>
          <w:cols w:equalWidth="0" w:num="1">
            <w:col w:w="10199"/>
          </w:cols>
          <w:pgMar w:left="260" w:top="37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920" w:type="dxa"/>
            <w:vAlign w:val="bottom"/>
          </w:tcPr>
          <w:p>
            <w:pPr>
              <w:ind w:left="200"/>
              <w:spacing w:after="0"/>
              <w:rPr>
                <w:sz w:val="20"/>
                <w:szCs w:val="20"/>
                <w:color w:val="auto"/>
              </w:rPr>
            </w:pPr>
            <w:r>
              <w:rPr>
                <w:rFonts w:ascii="Arial" w:cs="Arial" w:eastAsia="Arial" w:hAnsi="Arial"/>
                <w:sz w:val="22"/>
                <w:szCs w:val="22"/>
                <w:color w:val="auto"/>
              </w:rPr>
              <w:t>Non-cash compensation charge</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3,077</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2,331</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Losses (gains) on disposals of assets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377</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(642)</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Provision for loss on receivables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(112)</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1,055</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Other, net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2,282</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(164)</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Changes in operating assets and liabilities:</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320"/>
              <w:spacing w:after="0"/>
              <w:rPr>
                <w:sz w:val="20"/>
                <w:szCs w:val="20"/>
                <w:color w:val="auto"/>
              </w:rPr>
            </w:pPr>
            <w:r>
              <w:rPr>
                <w:rFonts w:ascii="Arial" w:cs="Arial" w:eastAsia="Arial" w:hAnsi="Arial"/>
                <w:sz w:val="22"/>
                <w:szCs w:val="22"/>
                <w:color w:val="auto"/>
              </w:rPr>
              <w:t>Accounts receivable</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(6,140)</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38,761</w:t>
            </w:r>
          </w:p>
        </w:tc>
        <w:tc>
          <w:tcPr>
            <w:tcW w:w="0" w:type="dxa"/>
            <w:vAlign w:val="bottom"/>
          </w:tcPr>
          <w:p>
            <w:pPr>
              <w:spacing w:after="0"/>
              <w:rPr>
                <w:sz w:val="1"/>
                <w:szCs w:val="1"/>
                <w:color w:val="auto"/>
              </w:rPr>
            </w:pPr>
          </w:p>
        </w:tc>
      </w:tr>
      <w:tr>
        <w:trPr>
          <w:trHeight w:val="270"/>
        </w:trPr>
        <w:tc>
          <w:tcPr>
            <w:tcW w:w="6920" w:type="dxa"/>
            <w:vAlign w:val="bottom"/>
          </w:tcPr>
          <w:p>
            <w:pPr>
              <w:ind w:left="320"/>
              <w:spacing w:after="0"/>
              <w:rPr>
                <w:sz w:val="20"/>
                <w:szCs w:val="20"/>
                <w:color w:val="auto"/>
              </w:rPr>
            </w:pPr>
            <w:r>
              <w:rPr>
                <w:rFonts w:ascii="Arial" w:cs="Arial" w:eastAsia="Arial" w:hAnsi="Arial"/>
                <w:sz w:val="22"/>
                <w:szCs w:val="22"/>
                <w:color w:val="auto"/>
              </w:rPr>
              <w:t>Inventories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979</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5,352</w:t>
            </w:r>
          </w:p>
        </w:tc>
        <w:tc>
          <w:tcPr>
            <w:tcW w:w="0" w:type="dxa"/>
            <w:vAlign w:val="bottom"/>
          </w:tcPr>
          <w:p>
            <w:pPr>
              <w:spacing w:after="0"/>
              <w:rPr>
                <w:sz w:val="1"/>
                <w:szCs w:val="1"/>
                <w:color w:val="auto"/>
              </w:rPr>
            </w:pPr>
          </w:p>
        </w:tc>
      </w:tr>
      <w:tr>
        <w:trPr>
          <w:trHeight w:val="270"/>
        </w:trPr>
        <w:tc>
          <w:tcPr>
            <w:tcW w:w="6920" w:type="dxa"/>
            <w:vAlign w:val="bottom"/>
          </w:tcPr>
          <w:p>
            <w:pPr>
              <w:ind w:left="320"/>
              <w:spacing w:after="0"/>
              <w:rPr>
                <w:sz w:val="20"/>
                <w:szCs w:val="20"/>
                <w:color w:val="auto"/>
              </w:rPr>
            </w:pPr>
            <w:r>
              <w:rPr>
                <w:rFonts w:ascii="Arial" w:cs="Arial" w:eastAsia="Arial" w:hAnsi="Arial"/>
                <w:sz w:val="22"/>
                <w:szCs w:val="22"/>
                <w:color w:val="auto"/>
              </w:rPr>
              <w:t>Accounts payable and accrued liabilities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4,670</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(14,561)</w:t>
            </w:r>
          </w:p>
        </w:tc>
        <w:tc>
          <w:tcPr>
            <w:tcW w:w="0" w:type="dxa"/>
            <w:vAlign w:val="bottom"/>
          </w:tcPr>
          <w:p>
            <w:pPr>
              <w:spacing w:after="0"/>
              <w:rPr>
                <w:sz w:val="1"/>
                <w:szCs w:val="1"/>
                <w:color w:val="auto"/>
              </w:rPr>
            </w:pPr>
          </w:p>
        </w:tc>
      </w:tr>
      <w:tr>
        <w:trPr>
          <w:trHeight w:val="270"/>
        </w:trPr>
        <w:tc>
          <w:tcPr>
            <w:tcW w:w="6920" w:type="dxa"/>
            <w:vAlign w:val="bottom"/>
          </w:tcPr>
          <w:p>
            <w:pPr>
              <w:ind w:left="320"/>
              <w:spacing w:after="0"/>
              <w:rPr>
                <w:sz w:val="20"/>
                <w:szCs w:val="20"/>
                <w:color w:val="auto"/>
              </w:rPr>
            </w:pPr>
            <w:r>
              <w:rPr>
                <w:rFonts w:ascii="Arial" w:cs="Arial" w:eastAsia="Arial" w:hAnsi="Arial"/>
                <w:sz w:val="22"/>
                <w:szCs w:val="22"/>
                <w:color w:val="auto"/>
              </w:rPr>
              <w:t>Taxes payable</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(565)</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(7,324)</w:t>
            </w:r>
          </w:p>
        </w:tc>
        <w:tc>
          <w:tcPr>
            <w:tcW w:w="0" w:type="dxa"/>
            <w:vAlign w:val="bottom"/>
          </w:tcPr>
          <w:p>
            <w:pPr>
              <w:spacing w:after="0"/>
              <w:rPr>
                <w:sz w:val="1"/>
                <w:szCs w:val="1"/>
                <w:color w:val="auto"/>
              </w:rPr>
            </w:pPr>
          </w:p>
        </w:tc>
      </w:tr>
      <w:tr>
        <w:trPr>
          <w:trHeight w:val="275"/>
        </w:trPr>
        <w:tc>
          <w:tcPr>
            <w:tcW w:w="6920" w:type="dxa"/>
            <w:vAlign w:val="bottom"/>
          </w:tcPr>
          <w:p>
            <w:pPr>
              <w:ind w:left="320"/>
              <w:spacing w:after="0"/>
              <w:rPr>
                <w:sz w:val="20"/>
                <w:szCs w:val="20"/>
                <w:color w:val="auto"/>
              </w:rPr>
            </w:pPr>
            <w:r>
              <w:rPr>
                <w:rFonts w:ascii="Arial" w:cs="Arial" w:eastAsia="Arial" w:hAnsi="Arial"/>
                <w:sz w:val="22"/>
                <w:szCs w:val="22"/>
                <w:color w:val="auto"/>
              </w:rPr>
              <w:t>Other current assets and liabilities, net</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1,189</w:t>
            </w:r>
          </w:p>
        </w:tc>
        <w:tc>
          <w:tcPr>
            <w:tcW w:w="8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(8,223)</w:t>
            </w:r>
          </w:p>
        </w:tc>
        <w:tc>
          <w:tcPr>
            <w:tcW w:w="0" w:type="dxa"/>
            <w:vAlign w:val="bottom"/>
          </w:tcPr>
          <w:p>
            <w:pPr>
              <w:spacing w:after="0"/>
              <w:rPr>
                <w:sz w:val="1"/>
                <w:szCs w:val="1"/>
                <w:color w:val="auto"/>
              </w:rPr>
            </w:pPr>
          </w:p>
        </w:tc>
      </w:tr>
      <w:tr>
        <w:trPr>
          <w:trHeight w:val="272"/>
        </w:trPr>
        <w:tc>
          <w:tcPr>
            <w:tcW w:w="692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35,128</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94,290</w:t>
            </w:r>
          </w:p>
        </w:tc>
        <w:tc>
          <w:tcPr>
            <w:tcW w:w="0" w:type="dxa"/>
            <w:vAlign w:val="bottom"/>
          </w:tcPr>
          <w:p>
            <w:pPr>
              <w:spacing w:after="0"/>
              <w:rPr>
                <w:sz w:val="1"/>
                <w:szCs w:val="1"/>
                <w:color w:val="auto"/>
              </w:rPr>
            </w:pPr>
          </w:p>
        </w:tc>
      </w:tr>
      <w:tr>
        <w:trPr>
          <w:trHeight w:val="528"/>
        </w:trPr>
        <w:tc>
          <w:tcPr>
            <w:tcW w:w="692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Capital expenditures, including capitalized interest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(9,893)</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(24,102)</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Proceeds from disposition of property, plant and equipment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2,105</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1,844</w:t>
            </w:r>
          </w:p>
        </w:tc>
        <w:tc>
          <w:tcPr>
            <w:tcW w:w="0" w:type="dxa"/>
            <w:vAlign w:val="bottom"/>
          </w:tcPr>
          <w:p>
            <w:pPr>
              <w:spacing w:after="0"/>
              <w:rPr>
                <w:sz w:val="1"/>
                <w:szCs w:val="1"/>
                <w:color w:val="auto"/>
              </w:rPr>
            </w:pPr>
          </w:p>
        </w:tc>
      </w:tr>
      <w:tr>
        <w:trPr>
          <w:trHeight w:val="275"/>
        </w:trPr>
        <w:tc>
          <w:tcPr>
            <w:tcW w:w="6920" w:type="dxa"/>
            <w:vAlign w:val="bottom"/>
          </w:tcPr>
          <w:p>
            <w:pPr>
              <w:ind w:left="200"/>
              <w:spacing w:after="0"/>
              <w:rPr>
                <w:sz w:val="20"/>
                <w:szCs w:val="20"/>
                <w:color w:val="auto"/>
              </w:rPr>
            </w:pPr>
            <w:r>
              <w:rPr>
                <w:rFonts w:ascii="Arial" w:cs="Arial" w:eastAsia="Arial" w:hAnsi="Arial"/>
                <w:sz w:val="22"/>
                <w:szCs w:val="22"/>
                <w:color w:val="auto"/>
              </w:rPr>
              <w:t>Other, net</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(1,542)</w:t>
            </w:r>
          </w:p>
        </w:tc>
        <w:tc>
          <w:tcPr>
            <w:tcW w:w="80" w:type="dxa"/>
            <w:vAlign w:val="bottom"/>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2"/>
        </w:trPr>
        <w:tc>
          <w:tcPr>
            <w:tcW w:w="6920" w:type="dxa"/>
            <w:vAlign w:val="bottom"/>
          </w:tcPr>
          <w:p>
            <w:pPr>
              <w:ind w:left="320"/>
              <w:spacing w:after="0"/>
              <w:rPr>
                <w:sz w:val="20"/>
                <w:szCs w:val="20"/>
                <w:color w:val="auto"/>
              </w:rPr>
            </w:pPr>
            <w:r>
              <w:rPr>
                <w:rFonts w:ascii="Arial" w:cs="Arial" w:eastAsia="Arial" w:hAnsi="Arial"/>
                <w:sz w:val="22"/>
                <w:szCs w:val="22"/>
                <w:color w:val="auto"/>
              </w:rPr>
              <w:t>Net cash flows used in investing activities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(9,330)</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(22,258)</w:t>
            </w:r>
          </w:p>
        </w:tc>
        <w:tc>
          <w:tcPr>
            <w:tcW w:w="0" w:type="dxa"/>
            <w:vAlign w:val="bottom"/>
          </w:tcPr>
          <w:p>
            <w:pPr>
              <w:spacing w:after="0"/>
              <w:rPr>
                <w:sz w:val="1"/>
                <w:szCs w:val="1"/>
                <w:color w:val="auto"/>
              </w:rPr>
            </w:pPr>
          </w:p>
        </w:tc>
      </w:tr>
      <w:tr>
        <w:trPr>
          <w:trHeight w:val="528"/>
        </w:trPr>
        <w:tc>
          <w:tcPr>
            <w:tcW w:w="692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Proceeds from issuance of common stock</w:t>
            </w:r>
          </w:p>
        </w:tc>
        <w:tc>
          <w:tcPr>
            <w:tcW w:w="20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500</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Term loan repayments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7"/>
              </w:rPr>
              <w:t>(33,097)</w:t>
            </w:r>
          </w:p>
        </w:tc>
        <w:tc>
          <w:tcPr>
            <w:tcW w:w="8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200"/>
              <w:spacing w:after="0"/>
              <w:rPr>
                <w:sz w:val="20"/>
                <w:szCs w:val="20"/>
                <w:color w:val="auto"/>
              </w:rPr>
            </w:pPr>
            <w:r>
              <w:rPr>
                <w:rFonts w:ascii="Arial" w:cs="Arial" w:eastAsia="Arial" w:hAnsi="Arial"/>
                <w:sz w:val="22"/>
                <w:szCs w:val="22"/>
                <w:color w:val="auto"/>
              </w:rPr>
              <w:t>Revolver borrowings (repayments), net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4,755</w:t>
            </w:r>
          </w:p>
        </w:tc>
        <w:tc>
          <w:tcPr>
            <w:tcW w:w="8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920" w:type="dxa"/>
            <w:vAlign w:val="bottom"/>
          </w:tcPr>
          <w:p>
            <w:pPr>
              <w:ind w:left="200"/>
              <w:spacing w:after="0"/>
              <w:rPr>
                <w:sz w:val="20"/>
                <w:szCs w:val="20"/>
                <w:color w:val="auto"/>
              </w:rPr>
            </w:pPr>
            <w:r>
              <w:rPr>
                <w:rFonts w:ascii="Arial" w:cs="Arial" w:eastAsia="Arial" w:hAnsi="Arial"/>
                <w:sz w:val="22"/>
                <w:szCs w:val="22"/>
                <w:color w:val="auto"/>
              </w:rPr>
              <w:t>Debt issuance costs</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(2,022)</w:t>
            </w:r>
          </w:p>
        </w:tc>
        <w:tc>
          <w:tcPr>
            <w:tcW w:w="80" w:type="dxa"/>
            <w:vAlign w:val="bottom"/>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2"/>
        </w:trPr>
        <w:tc>
          <w:tcPr>
            <w:tcW w:w="6920" w:type="dxa"/>
            <w:vAlign w:val="bottom"/>
          </w:tcPr>
          <w:p>
            <w:pPr>
              <w:ind w:left="320"/>
              <w:spacing w:after="0"/>
              <w:rPr>
                <w:sz w:val="20"/>
                <w:szCs w:val="20"/>
                <w:color w:val="auto"/>
              </w:rPr>
            </w:pPr>
            <w:r>
              <w:rPr>
                <w:rFonts w:ascii="Arial" w:cs="Arial" w:eastAsia="Arial" w:hAnsi="Arial"/>
                <w:sz w:val="22"/>
                <w:szCs w:val="22"/>
                <w:color w:val="auto"/>
              </w:rPr>
              <w:t>Net cash flows provided by (used in) financing activities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7"/>
              </w:rPr>
              <w:t>(30,364)</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500</w:t>
            </w:r>
          </w:p>
        </w:tc>
        <w:tc>
          <w:tcPr>
            <w:tcW w:w="0" w:type="dxa"/>
            <w:vAlign w:val="bottom"/>
          </w:tcPr>
          <w:p>
            <w:pPr>
              <w:spacing w:after="0"/>
              <w:rPr>
                <w:sz w:val="1"/>
                <w:szCs w:val="1"/>
                <w:color w:val="auto"/>
              </w:rPr>
            </w:pPr>
          </w:p>
        </w:tc>
      </w:tr>
      <w:tr>
        <w:trPr>
          <w:trHeight w:val="532"/>
        </w:trPr>
        <w:tc>
          <w:tcPr>
            <w:tcW w:w="69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(20,677)</w:t>
            </w:r>
          </w:p>
        </w:tc>
        <w:tc>
          <w:tcPr>
            <w:tcW w:w="0" w:type="dxa"/>
            <w:vAlign w:val="bottom"/>
          </w:tcPr>
          <w:p>
            <w:pPr>
              <w:spacing w:after="0"/>
              <w:rPr>
                <w:sz w:val="1"/>
                <w:szCs w:val="1"/>
                <w:color w:val="auto"/>
              </w:rPr>
            </w:pPr>
          </w:p>
        </w:tc>
      </w:tr>
      <w:tr>
        <w:trPr>
          <w:trHeight w:val="272"/>
        </w:trPr>
        <w:tc>
          <w:tcPr>
            <w:tcW w:w="692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(5,582)</w:t>
            </w:r>
          </w:p>
        </w:tc>
        <w:tc>
          <w:tcPr>
            <w:tcW w:w="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51,855</w:t>
            </w:r>
          </w:p>
        </w:tc>
        <w:tc>
          <w:tcPr>
            <w:tcW w:w="0" w:type="dxa"/>
            <w:vAlign w:val="bottom"/>
          </w:tcPr>
          <w:p>
            <w:pPr>
              <w:spacing w:after="0"/>
              <w:rPr>
                <w:sz w:val="1"/>
                <w:szCs w:val="1"/>
                <w:color w:val="auto"/>
              </w:rPr>
            </w:pPr>
          </w:p>
        </w:tc>
      </w:tr>
      <w:tr>
        <w:trPr>
          <w:trHeight w:val="532"/>
        </w:trPr>
        <w:tc>
          <w:tcPr>
            <w:tcW w:w="692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7,837</w:t>
            </w:r>
          </w:p>
        </w:tc>
        <w:tc>
          <w:tcPr>
            <w:tcW w:w="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263,314</w:t>
            </w:r>
          </w:p>
        </w:tc>
        <w:tc>
          <w:tcPr>
            <w:tcW w:w="0" w:type="dxa"/>
            <w:vAlign w:val="bottom"/>
          </w:tcPr>
          <w:p>
            <w:pPr>
              <w:spacing w:after="0"/>
              <w:rPr>
                <w:sz w:val="1"/>
                <w:szCs w:val="1"/>
                <w:color w:val="auto"/>
              </w:rPr>
            </w:pPr>
          </w:p>
        </w:tc>
      </w:tr>
      <w:tr>
        <w:trPr>
          <w:trHeight w:val="274"/>
        </w:trPr>
        <w:tc>
          <w:tcPr>
            <w:tcW w:w="6920" w:type="dxa"/>
            <w:vAlign w:val="bottom"/>
            <w:vMerge w:val="restart"/>
          </w:tcPr>
          <w:p>
            <w:pPr>
              <w:spacing w:after="0"/>
              <w:rPr>
                <w:sz w:val="20"/>
                <w:szCs w:val="20"/>
                <w:color w:val="auto"/>
              </w:rPr>
            </w:pPr>
            <w:r>
              <w:rPr>
                <w:rFonts w:ascii="Arial" w:cs="Arial" w:eastAsia="Arial" w:hAnsi="Arial"/>
                <w:sz w:val="22"/>
                <w:szCs w:val="22"/>
                <w:color w:val="auto"/>
              </w:rPr>
              <w:t>Cash and cash equivalents, end of period</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20" w:type="dxa"/>
            <w:vAlign w:val="bottom"/>
            <w:vMerge w:val="continue"/>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2,255</w:t>
            </w: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2"/>
              </w:rPr>
              <w:t>$  315,169</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39"/>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539"/>
        <w:spacing w:after="0"/>
        <w:rPr>
          <w:sz w:val="20"/>
          <w:szCs w:val="20"/>
          <w:color w:val="auto"/>
        </w:rPr>
      </w:pPr>
      <w:r>
        <w:rPr>
          <w:rFonts w:ascii="Arial" w:cs="Arial" w:eastAsia="Arial" w:hAnsi="Arial"/>
          <w:sz w:val="22"/>
          <w:szCs w:val="22"/>
          <w:b w:val="1"/>
          <w:bCs w:val="1"/>
          <w:color w:val="auto"/>
        </w:rPr>
        <w:t>SEGMENT DATA</w:t>
      </w:r>
    </w:p>
    <w:p>
      <w:pPr>
        <w:jc w:val="center"/>
        <w:ind w:right="2539"/>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539"/>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Pr>
          <w:p>
            <w:pPr>
              <w:spacing w:after="0"/>
              <w:rPr>
                <w:sz w:val="21"/>
                <w:szCs w:val="21"/>
                <w:color w:val="auto"/>
              </w:rPr>
            </w:pPr>
          </w:p>
        </w:tc>
        <w:tc>
          <w:tcPr>
            <w:tcW w:w="4920" w:type="dxa"/>
            <w:vAlign w:val="bottom"/>
            <w:gridSpan w:val="11"/>
          </w:tcPr>
          <w:p>
            <w:pPr>
              <w:ind w:left="20"/>
              <w:spacing w:after="0"/>
              <w:rPr>
                <w:sz w:val="20"/>
                <w:szCs w:val="20"/>
                <w:color w:val="auto"/>
              </w:rPr>
            </w:pPr>
            <w:r>
              <w:rPr>
                <w:rFonts w:ascii="Arial" w:cs="Arial" w:eastAsia="Arial" w:hAnsi="Arial"/>
                <w:sz w:val="22"/>
                <w:szCs w:val="22"/>
                <w:b w:val="1"/>
                <w:bCs w:val="1"/>
                <w:color w:val="auto"/>
              </w:rPr>
              <w:t>THREE MONTHS ENDED SIX MONTHS ENDED</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JUNE 30,</w:t>
            </w:r>
          </w:p>
        </w:tc>
        <w:tc>
          <w:tcPr>
            <w:tcW w:w="0" w:type="dxa"/>
            <w:vAlign w:val="bottom"/>
          </w:tcPr>
          <w:p>
            <w:pPr>
              <w:spacing w:after="0"/>
              <w:rPr>
                <w:sz w:val="1"/>
                <w:szCs w:val="1"/>
                <w:color w:val="auto"/>
              </w:rPr>
            </w:pPr>
          </w:p>
        </w:tc>
      </w:tr>
      <w:tr>
        <w:trPr>
          <w:trHeight w:val="282"/>
        </w:trPr>
        <w:tc>
          <w:tcPr>
            <w:tcW w:w="276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w w:val="85"/>
              </w:rPr>
              <w:t>2015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48"/>
        </w:trPr>
        <w:tc>
          <w:tcPr>
            <w:tcW w:w="27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760" w:type="dxa"/>
            <w:vAlign w:val="bottom"/>
          </w:tcPr>
          <w:p>
            <w:pPr>
              <w:ind w:left="200"/>
              <w:spacing w:after="0"/>
              <w:rPr>
                <w:sz w:val="20"/>
                <w:szCs w:val="20"/>
                <w:color w:val="auto"/>
              </w:rPr>
            </w:pPr>
            <w:r>
              <w:rPr>
                <w:rFonts w:ascii="Arial" w:cs="Arial" w:eastAsia="Arial" w:hAnsi="Arial"/>
                <w:sz w:val="22"/>
                <w:szCs w:val="22"/>
                <w:color w:val="auto"/>
              </w:rPr>
              <w:t>Canada</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77,107</w:t>
            </w:r>
          </w:p>
        </w:tc>
        <w:tc>
          <w:tcPr>
            <w:tcW w:w="100" w:type="dxa"/>
            <w:vAlign w:val="bottom"/>
          </w:tcPr>
          <w:p>
            <w:pPr>
              <w:spacing w:after="0"/>
              <w:rPr>
                <w:sz w:val="24"/>
                <w:szCs w:val="24"/>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90,072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w w:val="95"/>
              </w:rPr>
              <w:t>142,629</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206,972</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27,505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38,268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53,015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80,127</w:t>
            </w:r>
          </w:p>
        </w:tc>
        <w:tc>
          <w:tcPr>
            <w:tcW w:w="0" w:type="dxa"/>
            <w:vAlign w:val="bottom"/>
          </w:tcPr>
          <w:p>
            <w:pPr>
              <w:spacing w:after="0"/>
              <w:rPr>
                <w:sz w:val="1"/>
                <w:szCs w:val="1"/>
                <w:color w:val="auto"/>
              </w:rPr>
            </w:pPr>
          </w:p>
        </w:tc>
      </w:tr>
      <w:tr>
        <w:trPr>
          <w:trHeight w:val="276"/>
        </w:trPr>
        <w:tc>
          <w:tcPr>
            <w:tcW w:w="276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14,807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6,427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27,035</w:t>
            </w:r>
          </w:p>
        </w:tc>
        <w:tc>
          <w:tcPr>
            <w:tcW w:w="0" w:type="dxa"/>
            <w:vAlign w:val="bottom"/>
          </w:tcPr>
          <w:p>
            <w:pPr>
              <w:spacing w:after="0"/>
              <w:rPr>
                <w:sz w:val="1"/>
                <w:szCs w:val="1"/>
                <w:color w:val="auto"/>
              </w:rPr>
            </w:pPr>
          </w:p>
        </w:tc>
      </w:tr>
      <w:tr>
        <w:trPr>
          <w:trHeight w:val="265"/>
        </w:trPr>
        <w:tc>
          <w:tcPr>
            <w:tcW w:w="2760" w:type="dxa"/>
            <w:vAlign w:val="bottom"/>
          </w:tcPr>
          <w:p>
            <w:pPr>
              <w:ind w:left="320"/>
              <w:spacing w:after="0"/>
              <w:rPr>
                <w:sz w:val="20"/>
                <w:szCs w:val="20"/>
                <w:color w:val="auto"/>
              </w:rPr>
            </w:pPr>
            <w:r>
              <w:rPr>
                <w:rFonts w:ascii="Arial" w:cs="Arial" w:eastAsia="Arial" w:hAnsi="Arial"/>
                <w:sz w:val="22"/>
                <w:szCs w:val="22"/>
                <w:color w:val="auto"/>
              </w:rPr>
              <w:t>Total revenues</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107,035</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0"/>
              </w:rPr>
              <w:t>143,147</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202,071</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5"/>
              </w:rPr>
              <w:t>314,134</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Canada</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23,743</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24,391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37,791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61,903</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11,046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9,910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21,789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30,633</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(2,431)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1,906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(13,901)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(1,710)</w:t>
            </w:r>
          </w:p>
        </w:tc>
        <w:tc>
          <w:tcPr>
            <w:tcW w:w="0" w:type="dxa"/>
            <w:vAlign w:val="bottom"/>
          </w:tcPr>
          <w:p>
            <w:pPr>
              <w:spacing w:after="0"/>
              <w:rPr>
                <w:sz w:val="1"/>
                <w:szCs w:val="1"/>
                <w:color w:val="auto"/>
              </w:rPr>
            </w:pPr>
          </w:p>
        </w:tc>
      </w:tr>
      <w:tr>
        <w:trPr>
          <w:trHeight w:val="276"/>
        </w:trPr>
        <w:tc>
          <w:tcPr>
            <w:tcW w:w="2760" w:type="dxa"/>
            <w:vAlign w:val="bottom"/>
          </w:tcPr>
          <w:p>
            <w:pPr>
              <w:ind w:left="200"/>
              <w:spacing w:after="0"/>
              <w:rPr>
                <w:sz w:val="20"/>
                <w:szCs w:val="20"/>
                <w:color w:val="auto"/>
              </w:rPr>
            </w:pPr>
            <w:r>
              <w:rPr>
                <w:rFonts w:ascii="Arial" w:cs="Arial" w:eastAsia="Arial" w:hAnsi="Arial"/>
                <w:sz w:val="22"/>
                <w:szCs w:val="22"/>
                <w:color w:val="auto"/>
                <w:w w:val="96"/>
              </w:rPr>
              <w:t>Corporate and eliminations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(5,728)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(11,727)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(13,974)</w:t>
            </w:r>
          </w:p>
        </w:tc>
        <w:tc>
          <w:tcPr>
            <w:tcW w:w="0" w:type="dxa"/>
            <w:vAlign w:val="bottom"/>
          </w:tcPr>
          <w:p>
            <w:pPr>
              <w:spacing w:after="0"/>
              <w:rPr>
                <w:sz w:val="1"/>
                <w:szCs w:val="1"/>
                <w:color w:val="auto"/>
              </w:rPr>
            </w:pPr>
          </w:p>
        </w:tc>
      </w:tr>
      <w:tr>
        <w:trPr>
          <w:trHeight w:val="265"/>
        </w:trPr>
        <w:tc>
          <w:tcPr>
            <w:tcW w:w="2760" w:type="dxa"/>
            <w:vAlign w:val="bottom"/>
          </w:tcPr>
          <w:p>
            <w:pPr>
              <w:ind w:left="320"/>
              <w:spacing w:after="0"/>
              <w:rPr>
                <w:sz w:val="20"/>
                <w:szCs w:val="20"/>
                <w:color w:val="auto"/>
              </w:rPr>
            </w:pPr>
            <w:r>
              <w:rPr>
                <w:rFonts w:ascii="Arial" w:cs="Arial" w:eastAsia="Arial" w:hAnsi="Arial"/>
                <w:sz w:val="22"/>
                <w:szCs w:val="22"/>
                <w:color w:val="auto"/>
              </w:rPr>
              <w:t>Total EBITDA</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26,630</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28,778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33,952</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76,852</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Canada</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23,861</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24,549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38,032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62,061</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11,046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19,522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21,809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40,245</w:t>
            </w:r>
          </w:p>
        </w:tc>
        <w:tc>
          <w:tcPr>
            <w:tcW w:w="0" w:type="dxa"/>
            <w:vAlign w:val="bottom"/>
          </w:tcPr>
          <w:p>
            <w:pPr>
              <w:spacing w:after="0"/>
              <w:rPr>
                <w:sz w:val="1"/>
                <w:szCs w:val="1"/>
                <w:color w:val="auto"/>
              </w:rPr>
            </w:pPr>
          </w:p>
        </w:tc>
      </w:tr>
      <w:tr>
        <w:trPr>
          <w:trHeight w:val="275"/>
        </w:trPr>
        <w:tc>
          <w:tcPr>
            <w:tcW w:w="276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(2,431)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rPr>
              <w:t>1,906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(5,501)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2,043</w:t>
            </w:r>
          </w:p>
        </w:tc>
        <w:tc>
          <w:tcPr>
            <w:tcW w:w="0" w:type="dxa"/>
            <w:vAlign w:val="bottom"/>
          </w:tcPr>
          <w:p>
            <w:pPr>
              <w:spacing w:after="0"/>
              <w:rPr>
                <w:sz w:val="1"/>
                <w:szCs w:val="1"/>
                <w:color w:val="auto"/>
              </w:rPr>
            </w:pPr>
          </w:p>
        </w:tc>
      </w:tr>
    </w:tbl>
    <w:p>
      <w:pPr>
        <w:sectPr>
          <w:pgSz w:w="11900" w:h="16838" w:orient="portrait"/>
          <w:cols w:equalWidth="0" w:num="1">
            <w:col w:w="10199"/>
          </w:cols>
          <w:pgMar w:left="260" w:top="118"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760" w:type="dxa"/>
            <w:vAlign w:val="bottom"/>
          </w:tcPr>
          <w:p>
            <w:pPr>
              <w:ind w:left="200"/>
              <w:spacing w:after="0"/>
              <w:rPr>
                <w:sz w:val="20"/>
                <w:szCs w:val="20"/>
                <w:color w:val="auto"/>
              </w:rPr>
            </w:pPr>
            <w:r>
              <w:rPr>
                <w:rFonts w:ascii="Arial" w:cs="Arial" w:eastAsia="Arial" w:hAnsi="Arial"/>
                <w:sz w:val="22"/>
                <w:szCs w:val="22"/>
                <w:color w:val="auto"/>
                <w:w w:val="96"/>
              </w:rPr>
              <w:t>Corporate and eliminations</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(5,610)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(5,283)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(10,717)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(10,668)</w:t>
            </w:r>
          </w:p>
        </w:tc>
        <w:tc>
          <w:tcPr>
            <w:tcW w:w="0" w:type="dxa"/>
            <w:vAlign w:val="bottom"/>
          </w:tcPr>
          <w:p>
            <w:pPr>
              <w:spacing w:after="0"/>
              <w:rPr>
                <w:sz w:val="1"/>
                <w:szCs w:val="1"/>
                <w:color w:val="auto"/>
              </w:rPr>
            </w:pPr>
          </w:p>
        </w:tc>
      </w:tr>
      <w:tr>
        <w:trPr>
          <w:trHeight w:val="265"/>
        </w:trPr>
        <w:tc>
          <w:tcPr>
            <w:tcW w:w="2760" w:type="dxa"/>
            <w:vAlign w:val="bottom"/>
          </w:tcPr>
          <w:p>
            <w:pPr>
              <w:ind w:left="320"/>
              <w:spacing w:after="0"/>
              <w:rPr>
                <w:sz w:val="20"/>
                <w:szCs w:val="20"/>
                <w:color w:val="auto"/>
              </w:rPr>
            </w:pPr>
            <w:r>
              <w:rPr>
                <w:rFonts w:ascii="Arial" w:cs="Arial" w:eastAsia="Arial" w:hAnsi="Arial"/>
                <w:sz w:val="22"/>
                <w:szCs w:val="22"/>
                <w:color w:val="auto"/>
              </w:rPr>
              <w:t>Total adjusted EBITDA</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26,866</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40,694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43,623</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93,681</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92"/>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683</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(3,820)</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(9,016)</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8,300</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(914)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(4,882)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(2,536)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1,845</w:t>
            </w:r>
          </w:p>
        </w:tc>
        <w:tc>
          <w:tcPr>
            <w:tcW w:w="0" w:type="dxa"/>
            <w:vAlign w:val="bottom"/>
          </w:tcPr>
          <w:p>
            <w:pPr>
              <w:spacing w:after="0"/>
              <w:rPr>
                <w:sz w:val="1"/>
                <w:szCs w:val="1"/>
                <w:color w:val="auto"/>
              </w:rPr>
            </w:pPr>
          </w:p>
        </w:tc>
      </w:tr>
      <w:tr>
        <w:trPr>
          <w:trHeight w:val="270"/>
        </w:trPr>
        <w:tc>
          <w:tcPr>
            <w:tcW w:w="276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(3,792)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(1,801)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(17,391)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(8,695)</w:t>
            </w:r>
          </w:p>
        </w:tc>
        <w:tc>
          <w:tcPr>
            <w:tcW w:w="0" w:type="dxa"/>
            <w:vAlign w:val="bottom"/>
          </w:tcPr>
          <w:p>
            <w:pPr>
              <w:spacing w:after="0"/>
              <w:rPr>
                <w:sz w:val="1"/>
                <w:szCs w:val="1"/>
                <w:color w:val="auto"/>
              </w:rPr>
            </w:pPr>
          </w:p>
        </w:tc>
      </w:tr>
      <w:tr>
        <w:trPr>
          <w:trHeight w:val="276"/>
        </w:trPr>
        <w:tc>
          <w:tcPr>
            <w:tcW w:w="2760" w:type="dxa"/>
            <w:vAlign w:val="bottom"/>
          </w:tcPr>
          <w:p>
            <w:pPr>
              <w:ind w:left="200"/>
              <w:spacing w:after="0"/>
              <w:rPr>
                <w:sz w:val="20"/>
                <w:szCs w:val="20"/>
                <w:color w:val="auto"/>
              </w:rPr>
            </w:pPr>
            <w:r>
              <w:rPr>
                <w:rFonts w:ascii="Arial" w:cs="Arial" w:eastAsia="Arial" w:hAnsi="Arial"/>
                <w:sz w:val="22"/>
                <w:szCs w:val="22"/>
                <w:color w:val="auto"/>
                <w:w w:val="96"/>
              </w:rPr>
              <w:t>Corporate and eliminations</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(3,634)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(3,268)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(10,711)</w:t>
            </w:r>
          </w:p>
        </w:tc>
        <w:tc>
          <w:tcPr>
            <w:tcW w:w="0" w:type="dxa"/>
            <w:vAlign w:val="bottom"/>
          </w:tcPr>
          <w:p>
            <w:pPr>
              <w:spacing w:after="0"/>
              <w:rPr>
                <w:sz w:val="1"/>
                <w:szCs w:val="1"/>
                <w:color w:val="auto"/>
              </w:rPr>
            </w:pPr>
          </w:p>
        </w:tc>
      </w:tr>
      <w:tr>
        <w:trPr>
          <w:trHeight w:val="265"/>
        </w:trPr>
        <w:tc>
          <w:tcPr>
            <w:tcW w:w="2760" w:type="dxa"/>
            <w:vAlign w:val="bottom"/>
          </w:tcPr>
          <w:p>
            <w:pPr>
              <w:ind w:left="320"/>
              <w:spacing w:after="0"/>
              <w:rPr>
                <w:sz w:val="20"/>
                <w:szCs w:val="20"/>
                <w:color w:val="auto"/>
              </w:rPr>
            </w:pPr>
            <w:r>
              <w:rPr>
                <w:rFonts w:ascii="Arial" w:cs="Arial" w:eastAsia="Arial" w:hAnsi="Arial"/>
                <w:sz w:val="22"/>
                <w:szCs w:val="22"/>
                <w:color w:val="auto"/>
              </w:rPr>
              <w:t>Total operating loss</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(6,014)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(14,137)</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(32,211)</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(9,261)</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288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w w:val="85"/>
              </w:rPr>
              <w:t>2015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r>
      <w:tr>
        <w:trPr>
          <w:trHeight w:val="528"/>
        </w:trPr>
        <w:tc>
          <w:tcPr>
            <w:tcW w:w="5980" w:type="dxa"/>
            <w:vAlign w:val="bottom"/>
          </w:tcPr>
          <w:p>
            <w:pPr>
              <w:spacing w:after="0"/>
              <w:rPr>
                <w:sz w:val="20"/>
                <w:szCs w:val="20"/>
                <w:color w:val="auto"/>
              </w:rPr>
            </w:pPr>
            <w:r>
              <w:rPr>
                <w:rFonts w:ascii="Arial" w:cs="Arial" w:eastAsia="Arial" w:hAnsi="Arial"/>
                <w:sz w:val="22"/>
                <w:szCs w:val="22"/>
                <w:color w:val="auto"/>
              </w:rPr>
              <w:t>EBITDA (1)</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26,630</w:t>
            </w:r>
          </w:p>
        </w:tc>
        <w:tc>
          <w:tcPr>
            <w:tcW w:w="80" w:type="dxa"/>
            <w:vAlign w:val="bottom"/>
          </w:tcPr>
          <w:p>
            <w:pPr>
              <w:spacing w:after="0"/>
              <w:rPr>
                <w:sz w:val="24"/>
                <w:szCs w:val="24"/>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28,778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33,952</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76,852</w:t>
            </w: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26,866</w:t>
            </w:r>
          </w:p>
        </w:tc>
        <w:tc>
          <w:tcPr>
            <w:tcW w:w="80" w:type="dxa"/>
            <w:vAlign w:val="bottom"/>
          </w:tcPr>
          <w:p>
            <w:pPr>
              <w:spacing w:after="0"/>
              <w:rPr>
                <w:sz w:val="23"/>
                <w:szCs w:val="23"/>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40,694</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43,623</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93,681</w:t>
            </w:r>
          </w:p>
        </w:tc>
      </w:tr>
      <w:tr>
        <w:trPr>
          <w:trHeight w:val="275"/>
        </w:trPr>
        <w:tc>
          <w:tcPr>
            <w:tcW w:w="5980" w:type="dxa"/>
            <w:vAlign w:val="bottom"/>
          </w:tcPr>
          <w:p>
            <w:pPr>
              <w:spacing w:after="0"/>
              <w:rPr>
                <w:sz w:val="20"/>
                <w:szCs w:val="20"/>
                <w:color w:val="auto"/>
              </w:rPr>
            </w:pPr>
            <w:r>
              <w:rPr>
                <w:rFonts w:ascii="Arial" w:cs="Arial" w:eastAsia="Arial" w:hAnsi="Arial"/>
                <w:sz w:val="22"/>
                <w:szCs w:val="22"/>
                <w:color w:val="auto"/>
              </w:rPr>
              <w:t>Free Cash Flow (2)</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19,224</w:t>
            </w:r>
          </w:p>
        </w:tc>
        <w:tc>
          <w:tcPr>
            <w:tcW w:w="80" w:type="dxa"/>
            <w:vAlign w:val="bottom"/>
          </w:tcPr>
          <w:p>
            <w:pPr>
              <w:spacing w:after="0"/>
              <w:rPr>
                <w:sz w:val="23"/>
                <w:szCs w:val="23"/>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32,705</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27,340</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72,032</w:t>
            </w:r>
          </w:p>
        </w:tc>
      </w:tr>
    </w:tbl>
    <w:p>
      <w:pPr>
        <w:spacing w:after="0" w:line="266" w:lineRule="exact"/>
        <w:rPr>
          <w:sz w:val="20"/>
          <w:szCs w:val="20"/>
          <w:color w:val="auto"/>
        </w:rPr>
      </w:pPr>
    </w:p>
    <w:p>
      <w:pPr>
        <w:ind w:right="60" w:firstLine="2"/>
        <w:spacing w:after="0" w:line="272"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term EBITDA is defined as net income plus interest, taxes, depreciation and amortization. The term Adjusted EBITDA is defined as EBITDA adjusted to exclude impairment charges and certain other costs such as those incurred associated with the Company's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288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w w:val="85"/>
              </w:rPr>
              <w:t>2015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r>
      <w:tr>
        <w:trPr>
          <w:trHeight w:val="528"/>
        </w:trPr>
        <w:tc>
          <w:tcPr>
            <w:tcW w:w="598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(11,486)</w:t>
            </w:r>
          </w:p>
        </w:tc>
        <w:tc>
          <w:tcPr>
            <w:tcW w:w="80" w:type="dxa"/>
            <w:vAlign w:val="bottom"/>
          </w:tcPr>
          <w:p>
            <w:pPr>
              <w:spacing w:after="0"/>
              <w:rPr>
                <w:sz w:val="24"/>
                <w:szCs w:val="24"/>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(13,461)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(38,308)</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(13,477)</w:t>
            </w: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(949)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(5,863)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(5,520)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(4,706)</w:t>
            </w: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33,168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42,541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66,723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84,987</w:t>
            </w: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(687)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(1,809)</w:t>
            </w: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5"/>
        </w:trPr>
        <w:tc>
          <w:tcPr>
            <w:tcW w:w="598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5,925</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6,248</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10,869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11,857</w:t>
            </w:r>
          </w:p>
        </w:tc>
      </w:tr>
      <w:tr>
        <w:trPr>
          <w:trHeight w:val="267"/>
        </w:trPr>
        <w:tc>
          <w:tcPr>
            <w:tcW w:w="5980" w:type="dxa"/>
            <w:vAlign w:val="bottom"/>
          </w:tcPr>
          <w:p>
            <w:pPr>
              <w:ind w:left="20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26,630</w:t>
            </w:r>
          </w:p>
        </w:tc>
        <w:tc>
          <w:tcPr>
            <w:tcW w:w="80" w:type="dxa"/>
            <w:vAlign w:val="bottom"/>
          </w:tcPr>
          <w:p>
            <w:pPr>
              <w:spacing w:after="0"/>
              <w:rPr>
                <w:sz w:val="23"/>
                <w:szCs w:val="23"/>
                <w:color w:val="auto"/>
              </w:rPr>
            </w:pPr>
          </w:p>
        </w:tc>
        <w:tc>
          <w:tcPr>
            <w:tcW w:w="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28,778</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33,952</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76,852</w:t>
            </w:r>
          </w:p>
        </w:tc>
      </w:tr>
      <w:tr>
        <w:trPr>
          <w:trHeight w:val="255"/>
        </w:trPr>
        <w:tc>
          <w:tcPr>
            <w:tcW w:w="598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1"/>
        </w:trPr>
        <w:tc>
          <w:tcPr>
            <w:tcW w:w="5980" w:type="dxa"/>
            <w:vAlign w:val="bottom"/>
          </w:tcPr>
          <w:p>
            <w:pPr>
              <w:ind w:left="200"/>
              <w:spacing w:after="0"/>
              <w:rPr>
                <w:sz w:val="20"/>
                <w:szCs w:val="20"/>
                <w:color w:val="auto"/>
              </w:rPr>
            </w:pPr>
            <w:r>
              <w:rPr>
                <w:rFonts w:ascii="Arial" w:cs="Arial" w:eastAsia="Arial" w:hAnsi="Arial"/>
                <w:sz w:val="22"/>
                <w:szCs w:val="22"/>
                <w:color w:val="auto"/>
              </w:rPr>
              <w:t>Migration costs (a)</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236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2,443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1,271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3,603</w:t>
            </w:r>
          </w:p>
        </w:tc>
      </w:tr>
      <w:tr>
        <w:trPr>
          <w:trHeight w:val="270"/>
        </w:trPr>
        <w:tc>
          <w:tcPr>
            <w:tcW w:w="5980" w:type="dxa"/>
            <w:vAlign w:val="bottom"/>
          </w:tcPr>
          <w:p>
            <w:pPr>
              <w:ind w:left="200"/>
              <w:spacing w:after="0"/>
              <w:rPr>
                <w:sz w:val="20"/>
                <w:szCs w:val="20"/>
                <w:color w:val="auto"/>
              </w:rPr>
            </w:pPr>
            <w:r>
              <w:rPr>
                <w:rFonts w:ascii="Arial" w:cs="Arial" w:eastAsia="Arial" w:hAnsi="Arial"/>
                <w:sz w:val="22"/>
                <w:szCs w:val="22"/>
                <w:color w:val="auto"/>
              </w:rPr>
              <w:t>Loss on assets held for sale (b)</w:t>
            </w: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3,753</w:t>
            </w:r>
          </w:p>
        </w:tc>
      </w:tr>
      <w:tr>
        <w:trPr>
          <w:trHeight w:val="276"/>
        </w:trPr>
        <w:tc>
          <w:tcPr>
            <w:tcW w:w="5980" w:type="dxa"/>
            <w:vAlign w:val="bottom"/>
          </w:tcPr>
          <w:p>
            <w:pPr>
              <w:ind w:left="200"/>
              <w:spacing w:after="0"/>
              <w:rPr>
                <w:sz w:val="20"/>
                <w:szCs w:val="20"/>
                <w:color w:val="auto"/>
              </w:rPr>
            </w:pPr>
            <w:r>
              <w:rPr>
                <w:rFonts w:ascii="Arial" w:cs="Arial" w:eastAsia="Arial" w:hAnsi="Arial"/>
                <w:sz w:val="22"/>
                <w:szCs w:val="22"/>
                <w:color w:val="auto"/>
              </w:rPr>
              <w:t>Impairment of fixed assets (c)</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9,473</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8,400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9,473</w:t>
            </w:r>
          </w:p>
        </w:tc>
      </w:tr>
      <w:tr>
        <w:trPr>
          <w:trHeight w:val="265"/>
        </w:trPr>
        <w:tc>
          <w:tcPr>
            <w:tcW w:w="5980" w:type="dxa"/>
            <w:vAlign w:val="bottom"/>
          </w:tcPr>
          <w:p>
            <w:pPr>
              <w:ind w:left="32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26,866</w:t>
            </w:r>
          </w:p>
        </w:tc>
        <w:tc>
          <w:tcPr>
            <w:tcW w:w="80" w:type="dxa"/>
            <w:vAlign w:val="bottom"/>
          </w:tcPr>
          <w:p>
            <w:pPr>
              <w:spacing w:after="0"/>
              <w:rPr>
                <w:sz w:val="23"/>
                <w:szCs w:val="23"/>
                <w:color w:val="auto"/>
              </w:rPr>
            </w:pPr>
          </w:p>
        </w:tc>
        <w:tc>
          <w:tcPr>
            <w:tcW w:w="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40,694</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43,623</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93,681</w:t>
            </w:r>
          </w:p>
        </w:tc>
      </w:tr>
      <w:tr>
        <w:trPr>
          <w:trHeight w:val="21"/>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20"/>
          </w:cols>
          <w:pgMar w:left="260" w:top="118" w:right="319" w:bottom="0" w:gutter="0" w:footer="0" w:header="0"/>
        </w:sectPr>
      </w:pPr>
    </w:p>
    <w:bookmarkStart w:id="10" w:name="page11"/>
    <w:bookmarkEnd w:id="10"/>
    <w:p>
      <w:pPr>
        <w:spacing w:after="0" w:line="27" w:lineRule="exact"/>
        <w:rPr>
          <w:sz w:val="20"/>
          <w:szCs w:val="20"/>
          <w:color w:val="auto"/>
        </w:rPr>
      </w:pPr>
    </w:p>
    <w:p>
      <w:pPr>
        <w:ind w:right="100" w:firstLine="2"/>
        <w:spacing w:after="0" w:line="248" w:lineRule="auto"/>
        <w:tabs>
          <w:tab w:leader="none" w:pos="294" w:val="left"/>
        </w:tabs>
        <w:numPr>
          <w:ilvl w:val="0"/>
          <w:numId w:val="3"/>
        </w:numPr>
        <w:rPr>
          <w:rFonts w:ascii="Arial" w:cs="Arial" w:eastAsia="Arial" w:hAnsi="Arial"/>
          <w:sz w:val="21"/>
          <w:szCs w:val="21"/>
          <w:color w:val="auto"/>
        </w:rPr>
      </w:pPr>
      <w:r>
        <w:rPr>
          <w:rFonts w:ascii="Arial" w:cs="Arial" w:eastAsia="Arial" w:hAnsi="Arial"/>
          <w:sz w:val="21"/>
          <w:szCs w:val="21"/>
          <w:color w:val="auto"/>
        </w:rPr>
        <w:t>Relates to costs incurred associated with the Company's redomiciliation to Canada. For 2016, the $0.2 million and $1.3 million in costs ($0.2 million and $1.2 million, respectively, after-tax, or $0.00 and $0.01, respectively, per diluted share, respectively), which are primarily corporate in nature, are included in Selling, general and administrative costs on the statements of operations. For 2015, the $2.4 million and $3.6 million in costs ($1.6 million and $2.4 million, respectively, after-tax, or $0.02 and $0.03, respectively, per diluted share, respectively), which are primarily corporate in nature, are included in Selling, general and administrative costs on the statements of operations.</w:t>
      </w:r>
    </w:p>
    <w:p>
      <w:pPr>
        <w:spacing w:after="0" w:line="258" w:lineRule="exact"/>
        <w:rPr>
          <w:rFonts w:ascii="Arial" w:cs="Arial" w:eastAsia="Arial" w:hAnsi="Arial"/>
          <w:sz w:val="21"/>
          <w:szCs w:val="21"/>
          <w:color w:val="auto"/>
        </w:rPr>
      </w:pPr>
    </w:p>
    <w:p>
      <w:pPr>
        <w:jc w:val="both"/>
        <w:ind w:right="80" w:firstLine="2"/>
        <w:spacing w:after="0" w:line="238"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66" w:lineRule="exact"/>
        <w:rPr>
          <w:rFonts w:ascii="Arial" w:cs="Arial" w:eastAsia="Arial" w:hAnsi="Arial"/>
          <w:sz w:val="22"/>
          <w:szCs w:val="22"/>
          <w:color w:val="auto"/>
        </w:rPr>
      </w:pPr>
    </w:p>
    <w:p>
      <w:pPr>
        <w:ind w:right="20" w:firstLine="2"/>
        <w:spacing w:after="0" w:line="236" w:lineRule="auto"/>
        <w:tabs>
          <w:tab w:leader="none" w:pos="294" w:val="left"/>
        </w:tabs>
        <w:numPr>
          <w:ilvl w:val="0"/>
          <w:numId w:val="3"/>
        </w:numPr>
        <w:rPr>
          <w:rFonts w:ascii="Arial" w:cs="Arial" w:eastAsia="Arial" w:hAnsi="Arial"/>
          <w:sz w:val="22"/>
          <w:szCs w:val="22"/>
          <w:color w:val="auto"/>
        </w:rPr>
      </w:pPr>
      <w:r>
        <w:rPr>
          <w:rFonts w:ascii="Arial" w:cs="Arial" w:eastAsia="Arial" w:hAnsi="Arial"/>
          <w:sz w:val="22"/>
          <w:szCs w:val="22"/>
          <w:color w:val="auto"/>
        </w:rPr>
        <w:t>2016 relates to the impairment of assets in the United States. We recorded a pre-tax loss of $8.4 million ($8.4 million after-tax, or $0.08 per diluted share), which is included in Impairment expense on the statements of operations. 2015 relates to the impairment of certain fixed assets which carrying value we have determined is not to be recoverable. The $9.5 million impairment ($6.6 million after-tax, or $0.06 per diluted share), which is related to our Australian segment, is included in Impairment expense on the unaudited statements of operations.</w:t>
      </w:r>
    </w:p>
    <w:p>
      <w:pPr>
        <w:spacing w:after="0" w:line="269" w:lineRule="exact"/>
        <w:rPr>
          <w:sz w:val="20"/>
          <w:szCs w:val="20"/>
          <w:color w:val="auto"/>
        </w:rPr>
      </w:pPr>
    </w:p>
    <w:p>
      <w:pPr>
        <w:ind w:right="40" w:firstLine="2"/>
        <w:spacing w:after="0" w:line="274"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The Company has included Free Cash Flow as a supplemental disclosure because its management believes that Free Cash Flow provides useful information regarding the cash flow generating ability of its business relative to its capital expenditure and debt service obligations. The Company uses Free Cash Flow to compare and to understand, manage, make operating decisions and evaluate its business. It is also used as a benchmark for the award of incentive compensation under its Free Cash Flow plan.</w:t>
      </w:r>
    </w:p>
    <w:p>
      <w:pPr>
        <w:spacing w:after="0" w:line="240"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288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w w:val="85"/>
              </w:rPr>
              <w:t>2015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r>
      <w:tr>
        <w:trPr>
          <w:trHeight w:val="528"/>
        </w:trPr>
        <w:tc>
          <w:tcPr>
            <w:tcW w:w="59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23,850</w:t>
            </w:r>
          </w:p>
        </w:tc>
        <w:tc>
          <w:tcPr>
            <w:tcW w:w="80" w:type="dxa"/>
            <w:vAlign w:val="bottom"/>
          </w:tcPr>
          <w:p>
            <w:pPr>
              <w:spacing w:after="0"/>
              <w:rPr>
                <w:sz w:val="24"/>
                <w:szCs w:val="24"/>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45,388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35,128</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94,290</w:t>
            </w:r>
          </w:p>
        </w:tc>
      </w:tr>
      <w:tr>
        <w:trPr>
          <w:trHeight w:val="270"/>
        </w:trPr>
        <w:tc>
          <w:tcPr>
            <w:tcW w:w="5980" w:type="dxa"/>
            <w:vAlign w:val="bottom"/>
          </w:tcPr>
          <w:p>
            <w:pPr>
              <w:ind w:left="20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(5,132)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(13,400)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(9,893)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(24,102)</w:t>
            </w:r>
          </w:p>
        </w:tc>
      </w:tr>
      <w:tr>
        <w:trPr>
          <w:trHeight w:val="275"/>
        </w:trPr>
        <w:tc>
          <w:tcPr>
            <w:tcW w:w="5980" w:type="dxa"/>
            <w:vAlign w:val="bottom"/>
          </w:tcPr>
          <w:p>
            <w:pPr>
              <w:ind w:left="200"/>
              <w:spacing w:after="0"/>
              <w:rPr>
                <w:sz w:val="20"/>
                <w:szCs w:val="20"/>
                <w:color w:val="auto"/>
              </w:rPr>
            </w:pPr>
            <w:r>
              <w:rPr>
                <w:rFonts w:ascii="Arial" w:cs="Arial" w:eastAsia="Arial" w:hAnsi="Arial"/>
                <w:sz w:val="22"/>
                <w:szCs w:val="22"/>
                <w:color w:val="auto"/>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506</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717</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2,105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1,844</w:t>
            </w:r>
          </w:p>
        </w:tc>
      </w:tr>
      <w:tr>
        <w:trPr>
          <w:trHeight w:val="267"/>
        </w:trPr>
        <w:tc>
          <w:tcPr>
            <w:tcW w:w="5980" w:type="dxa"/>
            <w:vAlign w:val="bottom"/>
          </w:tcPr>
          <w:p>
            <w:pPr>
              <w:ind w:left="20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19,224</w:t>
            </w:r>
          </w:p>
        </w:tc>
        <w:tc>
          <w:tcPr>
            <w:tcW w:w="80" w:type="dxa"/>
            <w:vAlign w:val="bottom"/>
          </w:tcPr>
          <w:p>
            <w:pPr>
              <w:spacing w:after="0"/>
              <w:rPr>
                <w:sz w:val="23"/>
                <w:szCs w:val="23"/>
                <w:color w:val="auto"/>
              </w:rPr>
            </w:pPr>
          </w:p>
        </w:tc>
        <w:tc>
          <w:tcPr>
            <w:tcW w:w="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32,705</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27,340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72,032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80" w:type="dxa"/>
            <w:vAlign w:val="bottom"/>
            <w:gridSpan w:val="2"/>
          </w:tcPr>
          <w:p>
            <w:pPr>
              <w:jc w:val="right"/>
              <w:spacing w:after="0"/>
              <w:rPr>
                <w:sz w:val="20"/>
                <w:szCs w:val="20"/>
                <w:color w:val="auto"/>
              </w:rPr>
            </w:pPr>
            <w:r>
              <w:rPr>
                <w:rFonts w:ascii="Arial" w:cs="Arial" w:eastAsia="Arial" w:hAnsi="Arial"/>
                <w:sz w:val="22"/>
                <w:szCs w:val="22"/>
                <w:b w:val="1"/>
                <w:bCs w:val="1"/>
                <w:color w:val="auto"/>
              </w:rPr>
              <w:t>THREE MONTHS ENDING</w:t>
            </w: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60" w:type="dxa"/>
            <w:vAlign w:val="bottom"/>
            <w:gridSpan w:val="2"/>
          </w:tcPr>
          <w:p>
            <w:pPr>
              <w:jc w:val="right"/>
              <w:ind w:right="32"/>
              <w:spacing w:after="0"/>
              <w:rPr>
                <w:sz w:val="20"/>
                <w:szCs w:val="20"/>
                <w:color w:val="auto"/>
              </w:rPr>
            </w:pPr>
            <w:r>
              <w:rPr>
                <w:rFonts w:ascii="Arial" w:cs="Arial" w:eastAsia="Arial" w:hAnsi="Arial"/>
                <w:sz w:val="22"/>
                <w:szCs w:val="22"/>
                <w:b w:val="1"/>
                <w:bCs w:val="1"/>
                <w:color w:val="auto"/>
              </w:rPr>
              <w:t>YEAR ENDING</w:t>
            </w:r>
          </w:p>
        </w:tc>
        <w:tc>
          <w:tcPr>
            <w:tcW w:w="500" w:type="dxa"/>
            <w:vAlign w:val="bottom"/>
          </w:tcPr>
          <w:p>
            <w:pPr>
              <w:spacing w:after="0"/>
              <w:rPr>
                <w:sz w:val="21"/>
                <w:szCs w:val="21"/>
                <w:color w:val="auto"/>
              </w:rPr>
            </w:pPr>
          </w:p>
        </w:tc>
      </w:tr>
      <w:tr>
        <w:trPr>
          <w:trHeight w:val="276"/>
        </w:trPr>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SEPTEMBER 30, 2016</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gridSpan w:val="3"/>
          </w:tcPr>
          <w:p>
            <w:pPr>
              <w:jc w:val="right"/>
              <w:ind w:right="232"/>
              <w:spacing w:after="0"/>
              <w:rPr>
                <w:sz w:val="20"/>
                <w:szCs w:val="20"/>
                <w:color w:val="auto"/>
              </w:rPr>
            </w:pPr>
            <w:r>
              <w:rPr>
                <w:rFonts w:ascii="Arial" w:cs="Arial" w:eastAsia="Arial" w:hAnsi="Arial"/>
                <w:sz w:val="22"/>
                <w:szCs w:val="22"/>
                <w:b w:val="1"/>
                <w:bCs w:val="1"/>
                <w:color w:val="auto"/>
              </w:rPr>
              <w:t>DECEMBER 31, 2016</w:t>
            </w:r>
          </w:p>
        </w:tc>
      </w:tr>
      <w:tr>
        <w:trPr>
          <w:trHeight w:val="270"/>
        </w:trPr>
        <w:tc>
          <w:tcPr>
            <w:tcW w:w="3420" w:type="dxa"/>
            <w:vAlign w:val="bottom"/>
          </w:tcPr>
          <w:p>
            <w:pPr>
              <w:spacing w:after="0"/>
              <w:rPr>
                <w:sz w:val="20"/>
                <w:szCs w:val="20"/>
                <w:color w:val="auto"/>
              </w:rPr>
            </w:pPr>
            <w:r>
              <w:rPr>
                <w:rFonts w:ascii="Arial" w:cs="Arial" w:eastAsia="Arial" w:hAnsi="Arial"/>
                <w:sz w:val="22"/>
                <w:szCs w:val="22"/>
                <w:color w:val="auto"/>
              </w:rPr>
              <w:t>EBITDA Range (1)</w:t>
            </w:r>
          </w:p>
        </w:tc>
        <w:tc>
          <w:tcPr>
            <w:tcW w:w="11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72"/>
              <w:spacing w:after="0"/>
              <w:rPr>
                <w:sz w:val="20"/>
                <w:szCs w:val="20"/>
                <w:color w:val="auto"/>
              </w:rPr>
            </w:pPr>
            <w:r>
              <w:rPr>
                <w:rFonts w:ascii="Arial" w:cs="Arial" w:eastAsia="Arial" w:hAnsi="Arial"/>
                <w:sz w:val="22"/>
                <w:szCs w:val="22"/>
                <w:color w:val="auto"/>
              </w:rPr>
              <w:t>18.0</w:t>
            </w:r>
          </w:p>
        </w:tc>
        <w:tc>
          <w:tcPr>
            <w:tcW w:w="1420" w:type="dxa"/>
            <w:vAlign w:val="bottom"/>
          </w:tcPr>
          <w:p>
            <w:pPr>
              <w:jc w:val="right"/>
              <w:ind w:right="932"/>
              <w:spacing w:after="0"/>
              <w:rPr>
                <w:sz w:val="20"/>
                <w:szCs w:val="20"/>
                <w:color w:val="auto"/>
              </w:rPr>
            </w:pPr>
            <w:r>
              <w:rPr>
                <w:rFonts w:ascii="Arial" w:cs="Arial" w:eastAsia="Arial" w:hAnsi="Arial"/>
                <w:sz w:val="22"/>
                <w:szCs w:val="22"/>
                <w:color w:val="auto"/>
              </w:rPr>
              <w:t>$</w:t>
            </w:r>
          </w:p>
        </w:tc>
        <w:tc>
          <w:tcPr>
            <w:tcW w:w="620" w:type="dxa"/>
            <w:vAlign w:val="bottom"/>
          </w:tcPr>
          <w:p>
            <w:pPr>
              <w:jc w:val="right"/>
              <w:ind w:right="112"/>
              <w:spacing w:after="0"/>
              <w:rPr>
                <w:sz w:val="20"/>
                <w:szCs w:val="20"/>
                <w:color w:val="auto"/>
              </w:rPr>
            </w:pPr>
            <w:r>
              <w:rPr>
                <w:rFonts w:ascii="Arial" w:cs="Arial" w:eastAsia="Arial" w:hAnsi="Arial"/>
                <w:sz w:val="22"/>
                <w:szCs w:val="22"/>
                <w:color w:val="auto"/>
                <w:w w:val="88"/>
              </w:rPr>
              <w:t>21.0</w:t>
            </w:r>
          </w:p>
        </w:tc>
        <w:tc>
          <w:tcPr>
            <w:tcW w:w="5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64.3</w:t>
            </w:r>
          </w:p>
        </w:tc>
        <w:tc>
          <w:tcPr>
            <w:tcW w:w="96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72.3</w:t>
            </w:r>
          </w:p>
        </w:tc>
      </w:tr>
      <w:tr>
        <w:trPr>
          <w:trHeight w:val="275"/>
        </w:trPr>
        <w:tc>
          <w:tcPr>
            <w:tcW w:w="3420" w:type="dxa"/>
            <w:vAlign w:val="bottom"/>
          </w:tcPr>
          <w:p>
            <w:pPr>
              <w:spacing w:after="0"/>
              <w:rPr>
                <w:sz w:val="20"/>
                <w:szCs w:val="20"/>
                <w:color w:val="auto"/>
              </w:rPr>
            </w:pPr>
            <w:r>
              <w:rPr>
                <w:rFonts w:ascii="Arial" w:cs="Arial" w:eastAsia="Arial" w:hAnsi="Arial"/>
                <w:sz w:val="22"/>
                <w:szCs w:val="22"/>
                <w:color w:val="auto"/>
              </w:rPr>
              <w:t>Adjusted EBITDA Range (1)</w:t>
            </w:r>
          </w:p>
        </w:tc>
        <w:tc>
          <w:tcPr>
            <w:tcW w:w="11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72"/>
              <w:spacing w:after="0"/>
              <w:rPr>
                <w:sz w:val="20"/>
                <w:szCs w:val="20"/>
                <w:color w:val="auto"/>
              </w:rPr>
            </w:pPr>
            <w:r>
              <w:rPr>
                <w:rFonts w:ascii="Arial" w:cs="Arial" w:eastAsia="Arial" w:hAnsi="Arial"/>
                <w:sz w:val="22"/>
                <w:szCs w:val="22"/>
                <w:color w:val="auto"/>
              </w:rPr>
              <w:t>18.0</w:t>
            </w:r>
          </w:p>
        </w:tc>
        <w:tc>
          <w:tcPr>
            <w:tcW w:w="1420" w:type="dxa"/>
            <w:vAlign w:val="bottom"/>
          </w:tcPr>
          <w:p>
            <w:pPr>
              <w:jc w:val="right"/>
              <w:ind w:right="932"/>
              <w:spacing w:after="0"/>
              <w:rPr>
                <w:sz w:val="20"/>
                <w:szCs w:val="20"/>
                <w:color w:val="auto"/>
              </w:rPr>
            </w:pPr>
            <w:r>
              <w:rPr>
                <w:rFonts w:ascii="Arial" w:cs="Arial" w:eastAsia="Arial" w:hAnsi="Arial"/>
                <w:sz w:val="22"/>
                <w:szCs w:val="22"/>
                <w:color w:val="auto"/>
              </w:rPr>
              <w:t>$</w:t>
            </w:r>
          </w:p>
        </w:tc>
        <w:tc>
          <w:tcPr>
            <w:tcW w:w="620" w:type="dxa"/>
            <w:vAlign w:val="bottom"/>
          </w:tcPr>
          <w:p>
            <w:pPr>
              <w:jc w:val="right"/>
              <w:ind w:right="112"/>
              <w:spacing w:after="0"/>
              <w:rPr>
                <w:sz w:val="20"/>
                <w:szCs w:val="20"/>
                <w:color w:val="auto"/>
              </w:rPr>
            </w:pPr>
            <w:r>
              <w:rPr>
                <w:rFonts w:ascii="Arial" w:cs="Arial" w:eastAsia="Arial" w:hAnsi="Arial"/>
                <w:sz w:val="22"/>
                <w:szCs w:val="22"/>
                <w:color w:val="auto"/>
                <w:w w:val="88"/>
              </w:rPr>
              <w:t>21.0</w:t>
            </w:r>
          </w:p>
        </w:tc>
        <w:tc>
          <w:tcPr>
            <w:tcW w:w="5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74.0</w:t>
            </w:r>
          </w:p>
        </w:tc>
        <w:tc>
          <w:tcPr>
            <w:tcW w:w="96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82.0</w:t>
            </w:r>
          </w:p>
        </w:tc>
      </w:tr>
    </w:tbl>
    <w:p>
      <w:pPr>
        <w:spacing w:after="0" w:line="266" w:lineRule="exact"/>
        <w:rPr>
          <w:sz w:val="20"/>
          <w:szCs w:val="20"/>
          <w:color w:val="auto"/>
        </w:rPr>
      </w:pPr>
    </w:p>
    <w:p>
      <w:pPr>
        <w:ind w:right="60" w:firstLine="2"/>
        <w:spacing w:after="0" w:line="274"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term EBITDA is defined as net income plus interest, taxes, depreciation and amortization. The term Adjusted EBITDA is defined as EBITDA adjusted to exclude impairment charges and certain other costs such as those incurred associated with the Company's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w:t>
      </w:r>
    </w:p>
    <w:p>
      <w:pPr>
        <w:sectPr>
          <w:pgSz w:w="11900" w:h="16866" w:orient="portrait"/>
          <w:cols w:equalWidth="0" w:num="1">
            <w:col w:w="11320"/>
          </w:cols>
          <w:pgMar w:left="260" w:top="388" w:right="319" w:bottom="0" w:gutter="0" w:footer="0" w:header="0"/>
        </w:sectPr>
      </w:pPr>
    </w:p>
    <w:bookmarkStart w:id="11" w:name="page12"/>
    <w:bookmarkEnd w:id="11"/>
    <w:p>
      <w:pPr>
        <w:ind w:right="280"/>
        <w:spacing w:after="0" w:line="241" w:lineRule="auto"/>
        <w:rPr>
          <w:sz w:val="20"/>
          <w:szCs w:val="20"/>
          <w:color w:val="auto"/>
        </w:rPr>
      </w:pPr>
      <w:r>
        <w:rPr>
          <w:rFonts w:ascii="Arial" w:cs="Arial" w:eastAsia="Arial" w:hAnsi="Arial"/>
          <w:sz w:val="22"/>
          <w:szCs w:val="22"/>
          <w:color w:val="auto"/>
        </w:rPr>
        <w:t>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65"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following table sets forth a reconciliation of EBITDA and Adjusted EBITDA to net income,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20" w:type="dxa"/>
            <w:vAlign w:val="bottom"/>
            <w:gridSpan w:val="5"/>
          </w:tcPr>
          <w:p>
            <w:pPr>
              <w:ind w:left="160"/>
              <w:spacing w:after="0"/>
              <w:rPr>
                <w:sz w:val="20"/>
                <w:szCs w:val="20"/>
                <w:color w:val="auto"/>
              </w:rPr>
            </w:pPr>
            <w:r>
              <w:rPr>
                <w:rFonts w:ascii="Arial" w:cs="Arial" w:eastAsia="Arial" w:hAnsi="Arial"/>
                <w:sz w:val="22"/>
                <w:szCs w:val="22"/>
                <w:b w:val="1"/>
                <w:bCs w:val="1"/>
                <w:color w:val="auto"/>
              </w:rPr>
              <w:t>THREE MONTHS ENDING</w:t>
            </w:r>
          </w:p>
        </w:tc>
        <w:tc>
          <w:tcPr>
            <w:tcW w:w="3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rPr>
              <w:t>YEAR ENDING</w:t>
            </w:r>
          </w:p>
        </w:tc>
        <w:tc>
          <w:tcPr>
            <w:tcW w:w="760" w:type="dxa"/>
            <w:vAlign w:val="bottom"/>
          </w:tcPr>
          <w:p>
            <w:pPr>
              <w:spacing w:after="0"/>
              <w:rPr>
                <w:sz w:val="21"/>
                <w:szCs w:val="21"/>
                <w:color w:val="auto"/>
              </w:rPr>
            </w:pPr>
          </w:p>
        </w:tc>
      </w:tr>
      <w:tr>
        <w:trPr>
          <w:trHeight w:val="281"/>
        </w:trPr>
        <w:tc>
          <w:tcPr>
            <w:tcW w:w="4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SEPTEMBER 30, 2016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4"/>
          </w:tcPr>
          <w:p>
            <w:pPr>
              <w:jc w:val="right"/>
              <w:ind w:right="432"/>
              <w:spacing w:after="0"/>
              <w:rPr>
                <w:sz w:val="20"/>
                <w:szCs w:val="20"/>
                <w:color w:val="auto"/>
              </w:rPr>
            </w:pPr>
            <w:r>
              <w:rPr>
                <w:rFonts w:ascii="Arial" w:cs="Arial" w:eastAsia="Arial" w:hAnsi="Arial"/>
                <w:sz w:val="22"/>
                <w:szCs w:val="22"/>
                <w:b w:val="1"/>
                <w:bCs w:val="1"/>
                <w:color w:val="auto"/>
              </w:rPr>
              <w:t>DECEMBER 31, 2016</w:t>
            </w:r>
          </w:p>
        </w:tc>
      </w:tr>
      <w:tr>
        <w:trPr>
          <w:trHeight w:val="536"/>
        </w:trPr>
        <w:tc>
          <w:tcPr>
            <w:tcW w:w="4100" w:type="dxa"/>
            <w:vAlign w:val="bottom"/>
          </w:tcPr>
          <w:p>
            <w:pPr>
              <w:spacing w:after="0"/>
              <w:rPr>
                <w:sz w:val="20"/>
                <w:szCs w:val="20"/>
                <w:color w:val="auto"/>
              </w:rPr>
            </w:pPr>
            <w:r>
              <w:rPr>
                <w:rFonts w:ascii="Arial" w:cs="Arial" w:eastAsia="Arial" w:hAnsi="Arial"/>
                <w:sz w:val="22"/>
                <w:szCs w:val="22"/>
                <w:color w:val="auto"/>
              </w:rPr>
              <w:t>Net loss</w:t>
            </w:r>
          </w:p>
        </w:tc>
        <w:tc>
          <w:tcPr>
            <w:tcW w:w="4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(19.6)</w:t>
            </w:r>
          </w:p>
        </w:tc>
        <w:tc>
          <w:tcPr>
            <w:tcW w:w="180" w:type="dxa"/>
            <w:vAlign w:val="bottom"/>
          </w:tcPr>
          <w:p>
            <w:pPr>
              <w:spacing w:after="0"/>
              <w:rPr>
                <w:sz w:val="24"/>
                <w:szCs w:val="24"/>
                <w:color w:val="auto"/>
              </w:rPr>
            </w:pPr>
          </w:p>
        </w:tc>
        <w:tc>
          <w:tcPr>
            <w:tcW w:w="1160" w:type="dxa"/>
            <w:vAlign w:val="bottom"/>
          </w:tcPr>
          <w:p>
            <w:pPr>
              <w:jc w:val="right"/>
              <w:ind w:right="772"/>
              <w:spacing w:after="0"/>
              <w:rPr>
                <w:sz w:val="20"/>
                <w:szCs w:val="20"/>
                <w:color w:val="auto"/>
              </w:rPr>
            </w:pPr>
            <w:r>
              <w:rPr>
                <w:rFonts w:ascii="Arial" w:cs="Arial" w:eastAsia="Arial" w:hAnsi="Arial"/>
                <w:sz w:val="22"/>
                <w:szCs w:val="22"/>
                <w:color w:val="auto"/>
              </w:rPr>
              <w:t>$</w:t>
            </w: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(16.6)</w:t>
            </w:r>
          </w:p>
        </w:tc>
        <w:tc>
          <w:tcPr>
            <w:tcW w:w="100" w:type="dxa"/>
            <w:vAlign w:val="bottom"/>
          </w:tcPr>
          <w:p>
            <w:pPr>
              <w:spacing w:after="0"/>
              <w:rPr>
                <w:sz w:val="24"/>
                <w:szCs w:val="24"/>
                <w:color w:val="auto"/>
              </w:rPr>
            </w:pP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(84.4)</w:t>
            </w:r>
          </w:p>
        </w:tc>
        <w:tc>
          <w:tcPr>
            <w:tcW w:w="140" w:type="dxa"/>
            <w:vAlign w:val="bottom"/>
          </w:tcPr>
          <w:p>
            <w:pPr>
              <w:spacing w:after="0"/>
              <w:rPr>
                <w:sz w:val="24"/>
                <w:szCs w:val="24"/>
                <w:color w:val="auto"/>
              </w:rPr>
            </w:pPr>
          </w:p>
        </w:tc>
        <w:tc>
          <w:tcPr>
            <w:tcW w:w="80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760" w:type="dxa"/>
            <w:vAlign w:val="bottom"/>
          </w:tcPr>
          <w:p>
            <w:pPr>
              <w:jc w:val="right"/>
              <w:ind w:right="12"/>
              <w:spacing w:after="0"/>
              <w:rPr>
                <w:sz w:val="20"/>
                <w:szCs w:val="20"/>
                <w:color w:val="auto"/>
              </w:rPr>
            </w:pPr>
            <w:r>
              <w:rPr>
                <w:rFonts w:ascii="Arial" w:cs="Arial" w:eastAsia="Arial" w:hAnsi="Arial"/>
                <w:sz w:val="22"/>
                <w:szCs w:val="22"/>
                <w:color w:val="auto"/>
              </w:rPr>
              <w:t>(76.9)</w:t>
            </w:r>
          </w:p>
        </w:tc>
      </w:tr>
      <w:tr>
        <w:trPr>
          <w:trHeight w:val="270"/>
        </w:trPr>
        <w:tc>
          <w:tcPr>
            <w:tcW w:w="4100" w:type="dxa"/>
            <w:vAlign w:val="bottom"/>
          </w:tcPr>
          <w:p>
            <w:pPr>
              <w:spacing w:after="0"/>
              <w:rPr>
                <w:sz w:val="20"/>
                <w:szCs w:val="20"/>
                <w:color w:val="auto"/>
              </w:rPr>
            </w:pPr>
            <w:r>
              <w:rPr>
                <w:rFonts w:ascii="Arial" w:cs="Arial" w:eastAsia="Arial" w:hAnsi="Arial"/>
                <w:sz w:val="22"/>
                <w:szCs w:val="22"/>
                <w:color w:val="auto"/>
              </w:rPr>
              <w:t>Income tax benefit</w:t>
            </w:r>
          </w:p>
        </w:tc>
        <w:tc>
          <w:tcPr>
            <w:tcW w:w="46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(6.3)</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22"/>
                <w:szCs w:val="22"/>
                <w:color w:val="auto"/>
              </w:rPr>
              <w:t>(5.8)</w:t>
            </w:r>
          </w:p>
        </w:tc>
      </w:tr>
      <w:tr>
        <w:trPr>
          <w:trHeight w:val="270"/>
        </w:trPr>
        <w:tc>
          <w:tcPr>
            <w:tcW w:w="41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60" w:type="dxa"/>
            <w:vAlign w:val="bottom"/>
          </w:tcPr>
          <w:p>
            <w:pPr>
              <w:spacing w:after="0"/>
              <w:rPr>
                <w:sz w:val="23"/>
                <w:szCs w:val="23"/>
                <w:color w:val="auto"/>
              </w:rPr>
            </w:pPr>
          </w:p>
        </w:tc>
        <w:tc>
          <w:tcPr>
            <w:tcW w:w="1380" w:type="dxa"/>
            <w:vAlign w:val="bottom"/>
          </w:tcPr>
          <w:p>
            <w:pPr>
              <w:jc w:val="right"/>
              <w:ind w:right="92"/>
              <w:spacing w:after="0"/>
              <w:rPr>
                <w:sz w:val="20"/>
                <w:szCs w:val="20"/>
                <w:color w:val="auto"/>
              </w:rPr>
            </w:pPr>
            <w:r>
              <w:rPr>
                <w:rFonts w:ascii="Arial" w:cs="Arial" w:eastAsia="Arial" w:hAnsi="Arial"/>
                <w:sz w:val="22"/>
                <w:szCs w:val="22"/>
                <w:color w:val="auto"/>
              </w:rPr>
              <w:t>33.0</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jc w:val="right"/>
              <w:ind w:right="132"/>
              <w:spacing w:after="0"/>
              <w:rPr>
                <w:sz w:val="20"/>
                <w:szCs w:val="20"/>
                <w:color w:val="auto"/>
              </w:rPr>
            </w:pPr>
            <w:r>
              <w:rPr>
                <w:rFonts w:ascii="Arial" w:cs="Arial" w:eastAsia="Arial" w:hAnsi="Arial"/>
                <w:sz w:val="22"/>
                <w:szCs w:val="22"/>
                <w:color w:val="auto"/>
              </w:rPr>
              <w:t>33.0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133.0</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Arial" w:cs="Arial" w:eastAsia="Arial" w:hAnsi="Arial"/>
                <w:sz w:val="22"/>
                <w:szCs w:val="22"/>
                <w:color w:val="auto"/>
                <w:w w:val="98"/>
              </w:rPr>
              <w:t>133.0</w:t>
            </w:r>
          </w:p>
        </w:tc>
      </w:tr>
      <w:tr>
        <w:trPr>
          <w:trHeight w:val="270"/>
        </w:trPr>
        <w:tc>
          <w:tcPr>
            <w:tcW w:w="4100" w:type="dxa"/>
            <w:vAlign w:val="bottom"/>
          </w:tcPr>
          <w:p>
            <w:pPr>
              <w:spacing w:after="0"/>
              <w:rPr>
                <w:sz w:val="20"/>
                <w:szCs w:val="20"/>
                <w:color w:val="auto"/>
              </w:rPr>
            </w:pPr>
            <w:r>
              <w:rPr>
                <w:rFonts w:ascii="Arial" w:cs="Arial" w:eastAsia="Arial" w:hAnsi="Arial"/>
                <w:sz w:val="22"/>
                <w:szCs w:val="22"/>
                <w:color w:val="auto"/>
              </w:rPr>
              <w:t>Interest income</w:t>
            </w:r>
          </w:p>
        </w:tc>
        <w:tc>
          <w:tcPr>
            <w:tcW w:w="46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(0.2)</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22"/>
                <w:szCs w:val="22"/>
                <w:color w:val="auto"/>
              </w:rPr>
              <w:t>(0.2)</w:t>
            </w:r>
          </w:p>
        </w:tc>
      </w:tr>
      <w:tr>
        <w:trPr>
          <w:trHeight w:val="270"/>
        </w:trPr>
        <w:tc>
          <w:tcPr>
            <w:tcW w:w="41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6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0.3</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Arial" w:cs="Arial" w:eastAsia="Arial" w:hAnsi="Arial"/>
                <w:sz w:val="22"/>
                <w:szCs w:val="22"/>
                <w:color w:val="auto"/>
              </w:rPr>
              <w:t>0.3</w:t>
            </w:r>
          </w:p>
        </w:tc>
      </w:tr>
      <w:tr>
        <w:trPr>
          <w:trHeight w:val="275"/>
        </w:trPr>
        <w:tc>
          <w:tcPr>
            <w:tcW w:w="4100" w:type="dxa"/>
            <w:vAlign w:val="bottom"/>
          </w:tcPr>
          <w:p>
            <w:pPr>
              <w:spacing w:after="0"/>
              <w:rPr>
                <w:sz w:val="20"/>
                <w:szCs w:val="20"/>
                <w:color w:val="auto"/>
              </w:rPr>
            </w:pPr>
            <w:r>
              <w:rPr>
                <w:rFonts w:ascii="Arial" w:cs="Arial" w:eastAsia="Arial" w:hAnsi="Arial"/>
                <w:sz w:val="22"/>
                <w:szCs w:val="22"/>
                <w:color w:val="auto"/>
              </w:rPr>
              <w:t>Interest expense</w:t>
            </w: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5.6</w:t>
            </w:r>
          </w:p>
        </w:tc>
        <w:tc>
          <w:tcPr>
            <w:tcW w:w="18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21.9</w:t>
            </w:r>
          </w:p>
        </w:tc>
        <w:tc>
          <w:tcPr>
            <w:tcW w:w="14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21.9</w:t>
            </w:r>
          </w:p>
        </w:tc>
      </w:tr>
      <w:tr>
        <w:trPr>
          <w:trHeight w:val="267"/>
        </w:trPr>
        <w:tc>
          <w:tcPr>
            <w:tcW w:w="4100" w:type="dxa"/>
            <w:vAlign w:val="bottom"/>
          </w:tcPr>
          <w:p>
            <w:pPr>
              <w:ind w:left="200"/>
              <w:spacing w:after="0"/>
              <w:rPr>
                <w:sz w:val="20"/>
                <w:szCs w:val="20"/>
                <w:color w:val="auto"/>
              </w:rPr>
            </w:pPr>
            <w:r>
              <w:rPr>
                <w:rFonts w:ascii="Arial" w:cs="Arial" w:eastAsia="Arial" w:hAnsi="Arial"/>
                <w:sz w:val="22"/>
                <w:szCs w:val="22"/>
                <w:color w:val="auto"/>
              </w:rPr>
              <w:t>EBITDA</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18.0</w:t>
            </w: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21.0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64.3</w:t>
            </w:r>
          </w:p>
        </w:tc>
        <w:tc>
          <w:tcPr>
            <w:tcW w:w="140" w:type="dxa"/>
            <w:vAlign w:val="bottom"/>
          </w:tcPr>
          <w:p>
            <w:pPr>
              <w:spacing w:after="0"/>
              <w:rPr>
                <w:sz w:val="23"/>
                <w:szCs w:val="23"/>
                <w:color w:val="auto"/>
              </w:rPr>
            </w:pPr>
          </w:p>
        </w:tc>
        <w:tc>
          <w:tcPr>
            <w:tcW w:w="8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72.3</w:t>
            </w:r>
          </w:p>
        </w:tc>
      </w:tr>
      <w:tr>
        <w:trPr>
          <w:trHeight w:val="255"/>
        </w:trPr>
        <w:tc>
          <w:tcPr>
            <w:tcW w:w="4100" w:type="dxa"/>
            <w:vAlign w:val="bottom"/>
          </w:tcPr>
          <w:p>
            <w:pPr>
              <w:spacing w:after="0"/>
              <w:rPr>
                <w:sz w:val="20"/>
                <w:szCs w:val="20"/>
                <w:color w:val="auto"/>
              </w:rPr>
            </w:pPr>
            <w:r>
              <w:rPr>
                <w:rFonts w:ascii="Arial" w:cs="Arial" w:eastAsia="Arial" w:hAnsi="Arial"/>
                <w:sz w:val="22"/>
                <w:szCs w:val="22"/>
                <w:color w:val="auto"/>
              </w:rPr>
              <w:t>Adjustments to EBITDA</w:t>
            </w: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1"/>
        </w:trPr>
        <w:tc>
          <w:tcPr>
            <w:tcW w:w="4100" w:type="dxa"/>
            <w:vAlign w:val="bottom"/>
          </w:tcPr>
          <w:p>
            <w:pPr>
              <w:ind w:left="200"/>
              <w:spacing w:after="0"/>
              <w:rPr>
                <w:sz w:val="20"/>
                <w:szCs w:val="20"/>
                <w:color w:val="auto"/>
              </w:rPr>
            </w:pPr>
            <w:r>
              <w:rPr>
                <w:rFonts w:ascii="Arial" w:cs="Arial" w:eastAsia="Arial" w:hAnsi="Arial"/>
                <w:sz w:val="22"/>
                <w:szCs w:val="22"/>
                <w:color w:val="auto"/>
              </w:rPr>
              <w:t>Migration costs (a)</w:t>
            </w: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1.3</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Arial" w:cs="Arial" w:eastAsia="Arial" w:hAnsi="Arial"/>
                <w:sz w:val="22"/>
                <w:szCs w:val="22"/>
                <w:color w:val="auto"/>
              </w:rPr>
              <w:t>1.3</w:t>
            </w:r>
          </w:p>
        </w:tc>
      </w:tr>
      <w:tr>
        <w:trPr>
          <w:trHeight w:val="276"/>
        </w:trPr>
        <w:tc>
          <w:tcPr>
            <w:tcW w:w="4100" w:type="dxa"/>
            <w:vAlign w:val="bottom"/>
          </w:tcPr>
          <w:p>
            <w:pPr>
              <w:ind w:left="200"/>
              <w:spacing w:after="0"/>
              <w:rPr>
                <w:sz w:val="20"/>
                <w:szCs w:val="20"/>
                <w:color w:val="auto"/>
              </w:rPr>
            </w:pPr>
            <w:r>
              <w:rPr>
                <w:rFonts w:ascii="Arial" w:cs="Arial" w:eastAsia="Arial" w:hAnsi="Arial"/>
                <w:sz w:val="22"/>
                <w:szCs w:val="22"/>
                <w:color w:val="auto"/>
              </w:rPr>
              <w:t>Impairment of fixed assets (b)</w:t>
            </w: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8.4</w:t>
            </w: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8.4</w:t>
            </w:r>
          </w:p>
        </w:tc>
      </w:tr>
      <w:tr>
        <w:trPr>
          <w:trHeight w:val="265"/>
        </w:trPr>
        <w:tc>
          <w:tcPr>
            <w:tcW w:w="4100" w:type="dxa"/>
            <w:vAlign w:val="bottom"/>
          </w:tcPr>
          <w:p>
            <w:pPr>
              <w:ind w:left="320"/>
              <w:spacing w:after="0"/>
              <w:rPr>
                <w:sz w:val="20"/>
                <w:szCs w:val="20"/>
                <w:color w:val="auto"/>
              </w:rPr>
            </w:pPr>
            <w:r>
              <w:rPr>
                <w:rFonts w:ascii="Arial" w:cs="Arial" w:eastAsia="Arial" w:hAnsi="Arial"/>
                <w:sz w:val="22"/>
                <w:szCs w:val="22"/>
                <w:color w:val="auto"/>
              </w:rPr>
              <w:t>Adjusted EBITDA</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18.0</w:t>
            </w: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21.0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74.0</w:t>
            </w:r>
          </w:p>
        </w:tc>
        <w:tc>
          <w:tcPr>
            <w:tcW w:w="140" w:type="dxa"/>
            <w:vAlign w:val="bottom"/>
          </w:tcPr>
          <w:p>
            <w:pPr>
              <w:spacing w:after="0"/>
              <w:rPr>
                <w:sz w:val="23"/>
                <w:szCs w:val="23"/>
                <w:color w:val="auto"/>
              </w:rPr>
            </w:pPr>
          </w:p>
        </w:tc>
        <w:tc>
          <w:tcPr>
            <w:tcW w:w="8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82.0</w:t>
            </w:r>
          </w:p>
        </w:tc>
      </w:tr>
      <w:tr>
        <w:trPr>
          <w:trHeight w:val="21"/>
        </w:trPr>
        <w:tc>
          <w:tcPr>
            <w:tcW w:w="4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80" w:firstLine="2"/>
        <w:spacing w:after="0"/>
        <w:tabs>
          <w:tab w:leader="none" w:pos="294"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costs incurred associated with the Company's redomiciliation to Canada. The $1.3 million in costs ($1.2 million, after-tax), which are primarily corporate in nature, are included in Selling, general and administrative costs on the statements of operations.</w:t>
      </w:r>
    </w:p>
    <w:p>
      <w:pPr>
        <w:spacing w:after="0" w:line="267" w:lineRule="exact"/>
        <w:rPr>
          <w:rFonts w:ascii="Arial" w:cs="Arial" w:eastAsia="Arial" w:hAnsi="Arial"/>
          <w:sz w:val="22"/>
          <w:szCs w:val="22"/>
          <w:color w:val="auto"/>
        </w:rPr>
      </w:pPr>
    </w:p>
    <w:p>
      <w:pPr>
        <w:ind w:right="320" w:firstLine="2"/>
        <w:spacing w:after="0" w:line="251"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2016 relates to the impairment of assets in the United States. We recorded a pre-tax loss of $8.4 million ($8.4 million after-tax), which is included in Impairment expense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5"/>
          </w:tcPr>
          <w:p>
            <w:pPr>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58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rPr>
              <w:t>SIX MONTHS ENDED</w:t>
            </w:r>
          </w:p>
        </w:tc>
      </w:tr>
      <w:tr>
        <w:trPr>
          <w:trHeight w:val="270"/>
        </w:trPr>
        <w:tc>
          <w:tcPr>
            <w:tcW w:w="5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gridSpan w:val="4"/>
          </w:tcPr>
          <w:p>
            <w:pPr>
              <w:jc w:val="right"/>
              <w:ind w:right="832"/>
              <w:spacing w:after="0"/>
              <w:rPr>
                <w:sz w:val="20"/>
                <w:szCs w:val="20"/>
                <w:color w:val="auto"/>
              </w:rPr>
            </w:pPr>
            <w:r>
              <w:rPr>
                <w:rFonts w:ascii="Arial" w:cs="Arial" w:eastAsia="Arial" w:hAnsi="Arial"/>
                <w:sz w:val="22"/>
                <w:szCs w:val="22"/>
                <w:b w:val="1"/>
                <w:bCs w:val="1"/>
                <w:color w:val="auto"/>
              </w:rPr>
              <w:t>JUNE 30,</w:t>
            </w:r>
          </w:p>
        </w:tc>
      </w:tr>
      <w:tr>
        <w:trPr>
          <w:trHeight w:val="281"/>
        </w:trPr>
        <w:tc>
          <w:tcPr>
            <w:tcW w:w="5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85"/>
              </w:rPr>
              <w:t>2015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2015</w:t>
            </w:r>
          </w:p>
        </w:tc>
      </w:tr>
      <w:tr>
        <w:trPr>
          <w:trHeight w:val="529"/>
        </w:trPr>
        <w:tc>
          <w:tcPr>
            <w:tcW w:w="554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40" w:type="dxa"/>
            <w:vAlign w:val="bottom"/>
          </w:tcPr>
          <w:p>
            <w:pPr>
              <w:ind w:left="200"/>
              <w:spacing w:after="0"/>
              <w:rPr>
                <w:sz w:val="20"/>
                <w:szCs w:val="20"/>
                <w:color w:val="auto"/>
              </w:rPr>
            </w:pPr>
            <w:r>
              <w:rPr>
                <w:rFonts w:ascii="Arial" w:cs="Arial" w:eastAsia="Arial" w:hAnsi="Arial"/>
                <w:sz w:val="22"/>
                <w:szCs w:val="22"/>
                <w:color w:val="auto"/>
              </w:rPr>
              <w:t>Revenues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22"/>
                <w:szCs w:val="22"/>
                <w:color w:val="auto"/>
              </w:rPr>
              <w:t>Lodge revenues (1)</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66,301</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70,351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121,187</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158,188</w:t>
            </w:r>
          </w:p>
        </w:tc>
      </w:tr>
      <w:tr>
        <w:trPr>
          <w:trHeight w:val="275"/>
        </w:trPr>
        <w:tc>
          <w:tcPr>
            <w:tcW w:w="5540" w:type="dxa"/>
            <w:vAlign w:val="bottom"/>
          </w:tcPr>
          <w:p>
            <w:pPr>
              <w:ind w:left="320"/>
              <w:spacing w:after="0"/>
              <w:rPr>
                <w:sz w:val="20"/>
                <w:szCs w:val="20"/>
                <w:color w:val="auto"/>
              </w:rPr>
            </w:pPr>
            <w:r>
              <w:rPr>
                <w:rFonts w:ascii="Arial" w:cs="Arial" w:eastAsia="Arial" w:hAnsi="Arial"/>
                <w:sz w:val="22"/>
                <w:szCs w:val="22"/>
                <w:color w:val="auto"/>
              </w:rPr>
              <w:t>Mobile, open camp and product revenues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10,806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19,721</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21,442</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48,784</w:t>
            </w:r>
          </w:p>
        </w:tc>
      </w:tr>
      <w:tr>
        <w:trPr>
          <w:trHeight w:val="272"/>
        </w:trPr>
        <w:tc>
          <w:tcPr>
            <w:tcW w:w="5540" w:type="dxa"/>
            <w:vAlign w:val="bottom"/>
          </w:tcPr>
          <w:p>
            <w:pPr>
              <w:ind w:left="560"/>
              <w:spacing w:after="0"/>
              <w:rPr>
                <w:sz w:val="20"/>
                <w:szCs w:val="20"/>
                <w:color w:val="auto"/>
              </w:rPr>
            </w:pPr>
            <w:r>
              <w:rPr>
                <w:rFonts w:ascii="Arial" w:cs="Arial" w:eastAsia="Arial" w:hAnsi="Arial"/>
                <w:sz w:val="22"/>
                <w:szCs w:val="22"/>
                <w:color w:val="auto"/>
              </w:rPr>
              <w:t>Total Canadian revenues</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77,107</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90,072</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142,629</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206,972</w:t>
            </w:r>
          </w:p>
        </w:tc>
      </w:tr>
      <w:tr>
        <w:trPr>
          <w:trHeight w:val="532"/>
        </w:trPr>
        <w:tc>
          <w:tcPr>
            <w:tcW w:w="5540" w:type="dxa"/>
            <w:vAlign w:val="bottom"/>
          </w:tcPr>
          <w:p>
            <w:pPr>
              <w:ind w:left="200"/>
              <w:spacing w:after="0"/>
              <w:rPr>
                <w:sz w:val="20"/>
                <w:szCs w:val="20"/>
                <w:color w:val="auto"/>
              </w:rPr>
            </w:pPr>
            <w:r>
              <w:rPr>
                <w:rFonts w:ascii="Arial" w:cs="Arial" w:eastAsia="Arial" w:hAnsi="Arial"/>
                <w:sz w:val="22"/>
                <w:szCs w:val="22"/>
                <w:color w:val="auto"/>
              </w:rPr>
              <w:t>Average available lodge rooms (2)</w:t>
            </w:r>
          </w:p>
        </w:tc>
        <w:tc>
          <w:tcPr>
            <w:tcW w:w="1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13,929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13,229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14,266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13,225</w:t>
            </w:r>
          </w:p>
        </w:tc>
      </w:tr>
      <w:tr>
        <w:trPr>
          <w:trHeight w:val="540"/>
        </w:trPr>
        <w:tc>
          <w:tcPr>
            <w:tcW w:w="5540" w:type="dxa"/>
            <w:vAlign w:val="bottom"/>
          </w:tcPr>
          <w:p>
            <w:pPr>
              <w:ind w:left="200"/>
              <w:spacing w:after="0"/>
              <w:rPr>
                <w:sz w:val="20"/>
                <w:szCs w:val="20"/>
                <w:color w:val="auto"/>
              </w:rPr>
            </w:pPr>
            <w:r>
              <w:rPr>
                <w:rFonts w:ascii="Arial" w:cs="Arial" w:eastAsia="Arial" w:hAnsi="Arial"/>
                <w:sz w:val="22"/>
                <w:szCs w:val="22"/>
                <w:color w:val="auto"/>
              </w:rPr>
              <w:t>Rentable rooms (3)</w:t>
            </w:r>
          </w:p>
        </w:tc>
        <w:tc>
          <w:tcPr>
            <w:tcW w:w="1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10,902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10,398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10,003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10,471</w:t>
            </w:r>
          </w:p>
        </w:tc>
      </w:tr>
      <w:tr>
        <w:trPr>
          <w:trHeight w:val="540"/>
        </w:trPr>
        <w:tc>
          <w:tcPr>
            <w:tcW w:w="5540" w:type="dxa"/>
            <w:vAlign w:val="bottom"/>
          </w:tcPr>
          <w:p>
            <w:pPr>
              <w:ind w:left="200"/>
              <w:spacing w:after="0"/>
              <w:rPr>
                <w:sz w:val="20"/>
                <w:szCs w:val="20"/>
                <w:color w:val="auto"/>
              </w:rPr>
            </w:pPr>
            <w:r>
              <w:rPr>
                <w:rFonts w:ascii="Arial" w:cs="Arial" w:eastAsia="Arial" w:hAnsi="Arial"/>
                <w:sz w:val="22"/>
                <w:szCs w:val="22"/>
                <w:color w:val="auto"/>
              </w:rPr>
              <w:t>Average daily rates (4)</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108</w:t>
            </w:r>
          </w:p>
        </w:tc>
        <w:tc>
          <w:tcPr>
            <w:tcW w:w="100" w:type="dxa"/>
            <w:vAlign w:val="bottom"/>
          </w:tcPr>
          <w:p>
            <w:pPr>
              <w:spacing w:after="0"/>
              <w:rPr>
                <w:sz w:val="24"/>
                <w:szCs w:val="24"/>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120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110</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127</w:t>
            </w:r>
          </w:p>
        </w:tc>
      </w:tr>
      <w:tr>
        <w:trPr>
          <w:trHeight w:val="540"/>
        </w:trPr>
        <w:tc>
          <w:tcPr>
            <w:tcW w:w="5540" w:type="dxa"/>
            <w:vAlign w:val="bottom"/>
          </w:tcPr>
          <w:p>
            <w:pPr>
              <w:ind w:left="200"/>
              <w:spacing w:after="0"/>
              <w:rPr>
                <w:sz w:val="20"/>
                <w:szCs w:val="20"/>
                <w:color w:val="auto"/>
              </w:rPr>
            </w:pPr>
            <w:r>
              <w:rPr>
                <w:rFonts w:ascii="Arial" w:cs="Arial" w:eastAsia="Arial" w:hAnsi="Arial"/>
                <w:sz w:val="22"/>
                <w:szCs w:val="22"/>
                <w:color w:val="auto"/>
              </w:rPr>
              <w:t>Occupancy in lodges (5)</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540"/>
        </w:trPr>
        <w:tc>
          <w:tcPr>
            <w:tcW w:w="5540" w:type="dxa"/>
            <w:vAlign w:val="bottom"/>
          </w:tcPr>
          <w:p>
            <w:pPr>
              <w:ind w:left="200"/>
              <w:spacing w:after="0"/>
              <w:rPr>
                <w:sz w:val="20"/>
                <w:szCs w:val="20"/>
                <w:color w:val="auto"/>
              </w:rPr>
            </w:pPr>
            <w:r>
              <w:rPr>
                <w:rFonts w:ascii="Arial" w:cs="Arial" w:eastAsia="Arial" w:hAnsi="Arial"/>
                <w:sz w:val="22"/>
                <w:szCs w:val="22"/>
                <w:color w:val="auto"/>
              </w:rPr>
              <w:t>Canadian dollar to U.S. dollar</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0.776</w:t>
            </w:r>
          </w:p>
        </w:tc>
        <w:tc>
          <w:tcPr>
            <w:tcW w:w="100" w:type="dxa"/>
            <w:vAlign w:val="bottom"/>
          </w:tcPr>
          <w:p>
            <w:pPr>
              <w:spacing w:after="0"/>
              <w:rPr>
                <w:sz w:val="24"/>
                <w:szCs w:val="24"/>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0.814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0.752</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0.810</w:t>
            </w:r>
          </w:p>
        </w:tc>
      </w:tr>
      <w:tr>
        <w:trPr>
          <w:trHeight w:val="806"/>
        </w:trPr>
        <w:tc>
          <w:tcPr>
            <w:tcW w:w="5540" w:type="dxa"/>
            <w:vAlign w:val="bottom"/>
          </w:tcPr>
          <w:p>
            <w:pPr>
              <w:spacing w:after="0"/>
              <w:rPr>
                <w:sz w:val="20"/>
                <w:szCs w:val="20"/>
                <w:color w:val="auto"/>
              </w:rPr>
            </w:pPr>
            <w:r>
              <w:rPr>
                <w:rFonts w:ascii="Arial" w:cs="Arial" w:eastAsia="Arial" w:hAnsi="Arial"/>
                <w:sz w:val="22"/>
                <w:szCs w:val="22"/>
                <w:b w:val="1"/>
                <w:bCs w:val="1"/>
                <w:color w:val="auto"/>
              </w:rPr>
              <w:t>Supplemental Operating Data - Australian Segment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40" w:type="dxa"/>
            <w:vAlign w:val="bottom"/>
          </w:tcPr>
          <w:p>
            <w:pPr>
              <w:ind w:left="200"/>
              <w:spacing w:after="0"/>
              <w:rPr>
                <w:sz w:val="20"/>
                <w:szCs w:val="20"/>
                <w:color w:val="auto"/>
              </w:rPr>
            </w:pPr>
            <w:r>
              <w:rPr>
                <w:rFonts w:ascii="Arial" w:cs="Arial" w:eastAsia="Arial" w:hAnsi="Arial"/>
                <w:sz w:val="22"/>
                <w:szCs w:val="22"/>
                <w:color w:val="auto"/>
              </w:rPr>
              <w:t>Revenues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540" w:type="dxa"/>
            <w:vAlign w:val="bottom"/>
          </w:tcPr>
          <w:p>
            <w:pPr>
              <w:ind w:left="320"/>
              <w:spacing w:after="0"/>
              <w:rPr>
                <w:sz w:val="20"/>
                <w:szCs w:val="20"/>
                <w:color w:val="auto"/>
              </w:rPr>
            </w:pPr>
            <w:r>
              <w:rPr>
                <w:rFonts w:ascii="Arial" w:cs="Arial" w:eastAsia="Arial" w:hAnsi="Arial"/>
                <w:sz w:val="22"/>
                <w:szCs w:val="22"/>
                <w:color w:val="auto"/>
              </w:rPr>
              <w:t>Village revenues (1)</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27,505</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38,268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53,015</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80,127</w:t>
            </w:r>
          </w:p>
        </w:tc>
      </w:tr>
    </w:tbl>
    <w:p>
      <w:pPr>
        <w:sectPr>
          <w:pgSz w:w="11900" w:h="16838" w:orient="portrait"/>
          <w:cols w:equalWidth="0" w:num="1">
            <w:col w:w="11320"/>
          </w:cols>
          <w:pgMar w:left="260" w:top="118" w:right="319" w:bottom="0" w:gutter="0" w:footer="0" w:header="0"/>
        </w:sectPr>
      </w:pPr>
    </w:p>
    <w:bookmarkStart w:id="12" w:name="page13"/>
    <w:bookmarkEnd w:id="1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5"/>
        </w:trPr>
        <w:tc>
          <w:tcPr>
            <w:tcW w:w="4240" w:type="dxa"/>
            <w:vAlign w:val="bottom"/>
          </w:tcPr>
          <w:p>
            <w:pPr>
              <w:spacing w:after="0"/>
              <w:rPr>
                <w:sz w:val="20"/>
                <w:szCs w:val="20"/>
                <w:color w:val="auto"/>
              </w:rPr>
            </w:pPr>
            <w:r>
              <w:rPr>
                <w:rFonts w:ascii="Arial" w:cs="Arial" w:eastAsia="Arial" w:hAnsi="Arial"/>
                <w:sz w:val="22"/>
                <w:szCs w:val="22"/>
                <w:color w:val="auto"/>
              </w:rPr>
              <w:t>Average available village rooms (2)</w:t>
            </w:r>
          </w:p>
        </w:tc>
        <w:tc>
          <w:tcPr>
            <w:tcW w:w="148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9,312</w:t>
            </w:r>
          </w:p>
        </w:tc>
        <w:tc>
          <w:tcPr>
            <w:tcW w:w="480" w:type="dxa"/>
            <w:vAlign w:val="bottom"/>
          </w:tcPr>
          <w:p>
            <w:pPr>
              <w:spacing w:after="0"/>
              <w:rPr>
                <w:sz w:val="23"/>
                <w:szCs w:val="23"/>
                <w:color w:val="auto"/>
              </w:rPr>
            </w:pPr>
          </w:p>
        </w:tc>
        <w:tc>
          <w:tcPr>
            <w:tcW w:w="1040" w:type="dxa"/>
            <w:vAlign w:val="bottom"/>
          </w:tcPr>
          <w:p>
            <w:pPr>
              <w:jc w:val="right"/>
              <w:ind w:right="172"/>
              <w:spacing w:after="0"/>
              <w:rPr>
                <w:sz w:val="20"/>
                <w:szCs w:val="20"/>
                <w:color w:val="auto"/>
              </w:rPr>
            </w:pPr>
            <w:r>
              <w:rPr>
                <w:rFonts w:ascii="Arial" w:cs="Arial" w:eastAsia="Arial" w:hAnsi="Arial"/>
                <w:sz w:val="22"/>
                <w:szCs w:val="22"/>
                <w:color w:val="auto"/>
              </w:rPr>
              <w:t>9,296</w:t>
            </w:r>
          </w:p>
        </w:tc>
        <w:tc>
          <w:tcPr>
            <w:tcW w:w="44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9,304</w:t>
            </w:r>
          </w:p>
        </w:tc>
        <w:tc>
          <w:tcPr>
            <w:tcW w:w="46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9,296</w:t>
            </w:r>
          </w:p>
        </w:tc>
      </w:tr>
      <w:tr>
        <w:trPr>
          <w:trHeight w:val="540"/>
        </w:trPr>
        <w:tc>
          <w:tcPr>
            <w:tcW w:w="4240" w:type="dxa"/>
            <w:vAlign w:val="bottom"/>
          </w:tcPr>
          <w:p>
            <w:pPr>
              <w:spacing w:after="0"/>
              <w:rPr>
                <w:sz w:val="20"/>
                <w:szCs w:val="20"/>
                <w:color w:val="auto"/>
              </w:rPr>
            </w:pPr>
            <w:r>
              <w:rPr>
                <w:rFonts w:ascii="Arial" w:cs="Arial" w:eastAsia="Arial" w:hAnsi="Arial"/>
                <w:sz w:val="22"/>
                <w:szCs w:val="22"/>
                <w:color w:val="auto"/>
              </w:rPr>
              <w:t>Rentable rooms (3)</w:t>
            </w:r>
          </w:p>
        </w:tc>
        <w:tc>
          <w:tcPr>
            <w:tcW w:w="148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8,730</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22"/>
                <w:szCs w:val="22"/>
                <w:color w:val="auto"/>
              </w:rPr>
              <w:t>8,921</w:t>
            </w:r>
          </w:p>
        </w:tc>
        <w:tc>
          <w:tcPr>
            <w:tcW w:w="4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8,713</w:t>
            </w:r>
          </w:p>
        </w:tc>
        <w:tc>
          <w:tcPr>
            <w:tcW w:w="46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9,022</w:t>
            </w:r>
          </w:p>
        </w:tc>
      </w:tr>
      <w:tr>
        <w:trPr>
          <w:trHeight w:val="540"/>
        </w:trPr>
        <w:tc>
          <w:tcPr>
            <w:tcW w:w="4240" w:type="dxa"/>
            <w:vAlign w:val="bottom"/>
          </w:tcPr>
          <w:p>
            <w:pPr>
              <w:spacing w:after="0"/>
              <w:rPr>
                <w:sz w:val="20"/>
                <w:szCs w:val="20"/>
                <w:color w:val="auto"/>
              </w:rPr>
            </w:pPr>
            <w:r>
              <w:rPr>
                <w:rFonts w:ascii="Arial" w:cs="Arial" w:eastAsia="Arial" w:hAnsi="Arial"/>
                <w:sz w:val="22"/>
                <w:szCs w:val="22"/>
                <w:color w:val="auto"/>
              </w:rPr>
              <w:t>Average daily rates (4)</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76</w:t>
            </w: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72"/>
              <w:spacing w:after="0"/>
              <w:rPr>
                <w:sz w:val="20"/>
                <w:szCs w:val="20"/>
                <w:color w:val="auto"/>
              </w:rPr>
            </w:pPr>
            <w:r>
              <w:rPr>
                <w:rFonts w:ascii="Arial" w:cs="Arial" w:eastAsia="Arial" w:hAnsi="Arial"/>
                <w:sz w:val="22"/>
                <w:szCs w:val="22"/>
                <w:color w:val="auto"/>
              </w:rPr>
              <w:t>77</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72</w:t>
            </w:r>
          </w:p>
        </w:tc>
        <w:tc>
          <w:tcPr>
            <w:tcW w:w="46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78</w:t>
            </w:r>
          </w:p>
        </w:tc>
      </w:tr>
      <w:tr>
        <w:trPr>
          <w:trHeight w:val="540"/>
        </w:trPr>
        <w:tc>
          <w:tcPr>
            <w:tcW w:w="4240" w:type="dxa"/>
            <w:vAlign w:val="bottom"/>
          </w:tcPr>
          <w:p>
            <w:pPr>
              <w:spacing w:after="0"/>
              <w:rPr>
                <w:sz w:val="20"/>
                <w:szCs w:val="20"/>
                <w:color w:val="auto"/>
              </w:rPr>
            </w:pPr>
            <w:r>
              <w:rPr>
                <w:rFonts w:ascii="Arial" w:cs="Arial" w:eastAsia="Arial" w:hAnsi="Arial"/>
                <w:sz w:val="22"/>
                <w:szCs w:val="22"/>
                <w:color w:val="auto"/>
              </w:rPr>
              <w:t>Occupancy in villages (5)</w:t>
            </w:r>
          </w:p>
        </w:tc>
        <w:tc>
          <w:tcPr>
            <w:tcW w:w="148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45%</w:t>
            </w: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61%</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540"/>
        </w:trPr>
        <w:tc>
          <w:tcPr>
            <w:tcW w:w="4240" w:type="dxa"/>
            <w:vAlign w:val="bottom"/>
          </w:tcPr>
          <w:p>
            <w:pPr>
              <w:spacing w:after="0"/>
              <w:rPr>
                <w:sz w:val="20"/>
                <w:szCs w:val="20"/>
                <w:color w:val="auto"/>
              </w:rPr>
            </w:pPr>
            <w:r>
              <w:rPr>
                <w:rFonts w:ascii="Arial" w:cs="Arial" w:eastAsia="Arial" w:hAnsi="Arial"/>
                <w:sz w:val="22"/>
                <w:szCs w:val="22"/>
                <w:color w:val="auto"/>
              </w:rPr>
              <w:t>Australian dollar to U.S. dollar</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0.746</w:t>
            </w: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72"/>
              <w:spacing w:after="0"/>
              <w:rPr>
                <w:sz w:val="20"/>
                <w:szCs w:val="20"/>
                <w:color w:val="auto"/>
              </w:rPr>
            </w:pPr>
            <w:r>
              <w:rPr>
                <w:rFonts w:ascii="Arial" w:cs="Arial" w:eastAsia="Arial" w:hAnsi="Arial"/>
                <w:sz w:val="22"/>
                <w:szCs w:val="22"/>
                <w:color w:val="auto"/>
              </w:rPr>
              <w:t>0.778</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0.734</w:t>
            </w:r>
          </w:p>
        </w:tc>
        <w:tc>
          <w:tcPr>
            <w:tcW w:w="46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0.782</w:t>
            </w:r>
          </w:p>
        </w:tc>
      </w:tr>
    </w:tbl>
    <w:p>
      <w:pPr>
        <w:spacing w:after="0" w:line="200" w:lineRule="exact"/>
        <w:rPr>
          <w:sz w:val="20"/>
          <w:szCs w:val="20"/>
          <w:color w:val="auto"/>
        </w:rPr>
      </w:pPr>
    </w:p>
    <w:p>
      <w:pPr>
        <w:spacing w:after="0" w:line="336" w:lineRule="exact"/>
        <w:rPr>
          <w:sz w:val="20"/>
          <w:szCs w:val="20"/>
          <w:color w:val="auto"/>
        </w:rPr>
      </w:pPr>
    </w:p>
    <w:p>
      <w:pPr>
        <w:ind w:left="20" w:right="16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66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14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5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Anne Pearson / Lisa Elliott</w:t>
      </w:r>
    </w:p>
    <w:p>
      <w:pPr>
        <w:spacing w:after="0" w:line="238" w:lineRule="auto"/>
        <w:rPr>
          <w:sz w:val="20"/>
          <w:szCs w:val="20"/>
          <w:color w:val="auto"/>
        </w:rPr>
      </w:pPr>
      <w:r>
        <w:rPr>
          <w:rFonts w:ascii="Arial" w:cs="Arial" w:eastAsia="Arial" w:hAnsi="Arial"/>
          <w:sz w:val="22"/>
          <w:szCs w:val="22"/>
          <w:color w:val="auto"/>
        </w:rPr>
        <w:t>Dennard ▪ Lascar Associates</w:t>
      </w:r>
    </w:p>
    <w:p>
      <w:pPr>
        <w:spacing w:after="0"/>
        <w:rPr>
          <w:sz w:val="20"/>
          <w:szCs w:val="20"/>
          <w:color w:val="auto"/>
        </w:rPr>
      </w:pPr>
      <w:r>
        <w:rPr>
          <w:rFonts w:ascii="Arial" w:cs="Arial" w:eastAsia="Arial" w:hAnsi="Arial"/>
          <w:sz w:val="22"/>
          <w:szCs w:val="22"/>
          <w:color w:val="auto"/>
        </w:rPr>
        <w:t>713-529-6600</w:t>
      </w:r>
    </w:p>
    <w:sectPr>
      <w:pgSz w:w="11900" w:h="16838" w:orient="portrait"/>
      <w:cols w:equalWidth="0" w:num="1">
        <w:col w:w="11260"/>
      </w:cols>
      <w:pgMar w:left="240" w:top="38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77"/>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2019-12-08T23:54:11Z</dcterms:created>
  <dcterms:modified xsi:type="dcterms:W3CDTF">2019-12-08T23:54:11Z</dcterms:modified>
</cp:coreProperties>
</file>