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Civeo Corporation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Shares, no par value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17878Y207</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April 4,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40" w:right="9120"/>
        <w:spacing w:after="0" w:line="268" w:lineRule="exact"/>
        <w:tabs>
          <w:tab w:leader="none" w:pos="872"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highlight w:val="black"/>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highlight w:val="black"/>
        </w:rPr>
      </w:pPr>
    </w:p>
    <w:p>
      <w:pPr>
        <w:ind w:left="880" w:hanging="440"/>
        <w:spacing w:after="0"/>
        <w:tabs>
          <w:tab w:leader="none" w:pos="8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Rule 13d-1(d)</w:t>
      </w:r>
    </w:p>
    <w:p>
      <w:pPr>
        <w:spacing w:after="0" w:line="196"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958,660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958,660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958,660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IA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958,660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958,660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Item 1(a) Name of Issuer</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name of the issuer is Civeo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Address of Issuer’s Principal Executive Offices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Three Allen Center, 333 Clay St., Ste. 4980, Houston, TX, 77002.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2(a) 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43" w:lineRule="exact"/>
        <w:rPr>
          <w:sz w:val="20"/>
          <w:szCs w:val="20"/>
          <w:color w:val="auto"/>
        </w:rPr>
      </w:pPr>
    </w:p>
    <w:p>
      <w:pPr>
        <w:ind w:left="1260" w:hanging="348"/>
        <w:spacing w:after="0"/>
        <w:tabs>
          <w:tab w:leader="none" w:pos="12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Conversant Opportunity Master Fund LP, a Cayman Islands exempted limited partnership (“Opportunity Master”);</w:t>
      </w:r>
    </w:p>
    <w:p>
      <w:pPr>
        <w:spacing w:after="0" w:line="229" w:lineRule="exact"/>
        <w:rPr>
          <w:rFonts w:ascii="Times New Roman" w:cs="Times New Roman" w:eastAsia="Times New Roman" w:hAnsi="Times New Roman"/>
          <w:sz w:val="20"/>
          <w:szCs w:val="20"/>
          <w:color w:val="auto"/>
        </w:rPr>
      </w:pPr>
    </w:p>
    <w:p>
      <w:pPr>
        <w:ind w:left="1260" w:hanging="348"/>
        <w:spacing w:after="0" w:line="269" w:lineRule="auto"/>
        <w:tabs>
          <w:tab w:leader="none" w:pos="12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Conversant GP Holdings LLC, a Delaware limited liability company (“Conversant GP”), which serves as the general partner of Opportunity Master;</w:t>
      </w:r>
    </w:p>
    <w:p>
      <w:pPr>
        <w:spacing w:after="0" w:line="172" w:lineRule="exact"/>
        <w:rPr>
          <w:rFonts w:ascii="Times New Roman" w:cs="Times New Roman" w:eastAsia="Times New Roman" w:hAnsi="Times New Roman"/>
          <w:sz w:val="20"/>
          <w:szCs w:val="20"/>
          <w:color w:val="auto"/>
        </w:rPr>
      </w:pPr>
    </w:p>
    <w:p>
      <w:pPr>
        <w:ind w:left="1260" w:right="460" w:hanging="348"/>
        <w:spacing w:after="0" w:line="269" w:lineRule="auto"/>
        <w:tabs>
          <w:tab w:leader="none" w:pos="12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Conversant Capital LLC, a Delaware limited liability company (“Conversant Capital”), which serves as the investment manager to Opportunity Master; and</w:t>
      </w:r>
    </w:p>
    <w:p>
      <w:pPr>
        <w:spacing w:after="0" w:line="172" w:lineRule="exact"/>
        <w:rPr>
          <w:rFonts w:ascii="Times New Roman" w:cs="Times New Roman" w:eastAsia="Times New Roman" w:hAnsi="Times New Roman"/>
          <w:sz w:val="20"/>
          <w:szCs w:val="20"/>
          <w:color w:val="auto"/>
        </w:rPr>
      </w:pPr>
    </w:p>
    <w:p>
      <w:pPr>
        <w:ind w:left="1260" w:hanging="348"/>
        <w:spacing w:after="0"/>
        <w:tabs>
          <w:tab w:leader="none" w:pos="12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Simanovsky, an individual, who serves as sole managing member of Conversant GP and Conversant Capital.</w:t>
      </w:r>
    </w:p>
    <w:p>
      <w:pPr>
        <w:spacing w:after="0" w:line="229" w:lineRule="exact"/>
        <w:rPr>
          <w:sz w:val="20"/>
          <w:szCs w:val="20"/>
          <w:color w:val="auto"/>
        </w:rPr>
      </w:pPr>
    </w:p>
    <w:p>
      <w:pPr>
        <w:ind w:left="920" w:right="60"/>
        <w:spacing w:after="0" w:line="254" w:lineRule="auto"/>
        <w:rPr>
          <w:sz w:val="20"/>
          <w:szCs w:val="20"/>
          <w:color w:val="auto"/>
        </w:rPr>
      </w:pPr>
      <w:r>
        <w:rPr>
          <w:rFonts w:ascii="Times New Roman" w:cs="Times New Roman" w:eastAsia="Times New Roman" w:hAnsi="Times New Roman"/>
          <w:sz w:val="20"/>
          <w:szCs w:val="20"/>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920" w:right="140"/>
        <w:spacing w:after="0" w:line="269" w:lineRule="auto"/>
        <w:rPr>
          <w:sz w:val="20"/>
          <w:szCs w:val="20"/>
          <w:color w:val="auto"/>
        </w:rPr>
      </w:pPr>
      <w:r>
        <w:rPr>
          <w:rFonts w:ascii="Times New Roman" w:cs="Times New Roman" w:eastAsia="Times New Roman" w:hAnsi="Times New Roman"/>
          <w:sz w:val="20"/>
          <w:szCs w:val="20"/>
          <w:color w:val="auto"/>
        </w:rPr>
        <w:t>The Reporting Persons are filing this statement jointly with respect to the same securities as contemplated by Rule 13d-1(k)(1), not as members of a group.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2(b) Address of Principal Business Office or, if None, Residence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principal business address for each of the Reporting Persons is 25 Deforest Ave., Summit, NJ 07901.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2(c)  Citizenship</w:t>
      </w:r>
    </w:p>
    <w:p>
      <w:pPr>
        <w:spacing w:after="0" w:line="233" w:lineRule="exact"/>
        <w:rPr>
          <w:sz w:val="20"/>
          <w:szCs w:val="20"/>
          <w:color w:val="auto"/>
        </w:rPr>
      </w:pPr>
    </w:p>
    <w:p>
      <w:pPr>
        <w:ind w:left="920" w:right="240"/>
        <w:spacing w:after="0" w:line="269" w:lineRule="auto"/>
        <w:rPr>
          <w:sz w:val="20"/>
          <w:szCs w:val="20"/>
          <w:color w:val="auto"/>
        </w:rPr>
      </w:pPr>
      <w:r>
        <w:rPr>
          <w:rFonts w:ascii="Times New Roman" w:cs="Times New Roman" w:eastAsia="Times New Roman" w:hAnsi="Times New Roman"/>
          <w:sz w:val="20"/>
          <w:szCs w:val="20"/>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2(d) Title of Class of Securities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Common Shares, no par value (“</w:t>
      </w:r>
      <w:r>
        <w:rPr>
          <w:rFonts w:ascii="Times New Roman" w:cs="Times New Roman" w:eastAsia="Times New Roman" w:hAnsi="Times New Roman"/>
          <w:sz w:val="20"/>
          <w:szCs w:val="20"/>
          <w:u w:val="single" w:color="auto"/>
          <w:color w:val="auto"/>
        </w:rPr>
        <w:t>Common Shares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3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Item 2(e)  CUSIP No.</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CUSIP number for the Common Shares is 17878Y207.</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§§240.13d-1(b) or 240.13d-2(b) or (c), Check Whether the Person Filing is a:</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18"/>
          <w:szCs w:val="18"/>
          <w:color w:val="auto"/>
        </w:rPr>
        <w:t>The percentages used herein are calculated based upon 14,110,721 Common Shares reported to be outstanding on February 22, 2022 in the Annual Report on Form 10-K filed by the Company with the Securities and Exchange Commission on February 28, 2022.</w:t>
      </w:r>
    </w:p>
    <w:p>
      <w:pPr>
        <w:spacing w:after="0" w:line="1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ind w:left="920" w:hanging="903"/>
        <w:spacing w:after="0" w:line="273" w:lineRule="auto"/>
        <w:tabs>
          <w:tab w:leader="none" w:pos="900" w:val="left"/>
        </w:tabs>
        <w:rPr>
          <w:sz w:val="20"/>
          <w:szCs w:val="20"/>
          <w:color w:val="auto"/>
        </w:rPr>
      </w:pPr>
      <w:r>
        <w:rPr>
          <w:rFonts w:ascii="Times New Roman" w:cs="Times New Roman" w:eastAsia="Times New Roman" w:hAnsi="Times New Roman"/>
          <w:sz w:val="20"/>
          <w:szCs w:val="20"/>
          <w:b w:val="1"/>
          <w:bCs w:val="1"/>
          <w:color w:val="auto"/>
        </w:rPr>
        <w:t>Item 7.</w:t>
        <w:tab/>
        <w:t>Identification and Classification of the Subsidiary Which Acquired the Security Being Reported on by the Parent Holding Company</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information in Items 2 and 4 is hereby incorporated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7" w:name="page8"/>
    <w:bookmarkEnd w:id="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11, 2022</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Conversant GP Holdings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120"/>
          </w:cols>
          <w:pgMar w:left="320" w:top="711"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in respect of the Common Shares of Civeo Corporation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April 11, 2022</w:t>
      </w:r>
    </w:p>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Conversant GP Holdings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2022-04-12T15:02:41Z</dcterms:created>
  <dcterms:modified xsi:type="dcterms:W3CDTF">2022-04-12T15:02:41Z</dcterms:modified>
</cp:coreProperties>
</file>