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7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Date of Report (Date of earliest event Reported): November 2, 2015</w:t>
      </w:r>
    </w:p>
    <w:p>
      <w:pPr>
        <w:spacing w:after="0" w:line="205" w:lineRule="exact"/>
        <w:rPr>
          <w:sz w:val="24"/>
          <w:szCs w:val="24"/>
          <w:color w:val="auto"/>
        </w:rPr>
      </w:pPr>
    </w:p>
    <w:p>
      <w:pPr>
        <w:jc w:val="center"/>
        <w:ind w:right="-379"/>
        <w:spacing w:after="0"/>
        <w:rPr>
          <w:sz w:val="20"/>
          <w:szCs w:val="20"/>
          <w:color w:val="auto"/>
        </w:rPr>
      </w:pPr>
      <w:r>
        <w:rPr>
          <w:rFonts w:ascii="Arial" w:cs="Arial" w:eastAsia="Arial" w:hAnsi="Arial"/>
          <w:sz w:val="24"/>
          <w:szCs w:val="24"/>
          <w:b w:val="1"/>
          <w:bCs w:val="1"/>
          <w:color w:val="auto"/>
        </w:rPr>
        <w:t>Civeo Corporation</w:t>
      </w:r>
    </w:p>
    <w:p>
      <w:pPr>
        <w:spacing w:after="0" w:line="41"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(Exact Name of Registrant as Specified in Charter)</w:t>
      </w:r>
    </w:p>
    <w:p>
      <w:pPr>
        <w:spacing w:after="0" w:line="206" w:lineRule="exact"/>
        <w:rPr>
          <w:sz w:val="24"/>
          <w:szCs w:val="24"/>
          <w:color w:val="auto"/>
        </w:rPr>
      </w:pPr>
    </w:p>
    <w:p>
      <w:pPr>
        <w:ind w:left="860"/>
        <w:spacing w:after="0"/>
        <w:tabs>
          <w:tab w:leader="none" w:pos="5420" w:val="left"/>
          <w:tab w:leader="none" w:pos="9160" w:val="left"/>
        </w:tabs>
        <w:rPr>
          <w:sz w:val="20"/>
          <w:szCs w:val="20"/>
          <w:color w:val="auto"/>
        </w:rPr>
      </w:pPr>
      <w:r>
        <w:rPr>
          <w:rFonts w:ascii="Arial" w:cs="Arial" w:eastAsia="Arial" w:hAnsi="Arial"/>
          <w:sz w:val="18"/>
          <w:szCs w:val="18"/>
          <w:b w:val="1"/>
          <w:bCs w:val="1"/>
          <w:color w:val="auto"/>
        </w:rPr>
        <w:t>British Columbia, Canada</w:t>
      </w:r>
      <w:r>
        <w:rPr>
          <w:sz w:val="20"/>
          <w:szCs w:val="20"/>
          <w:color w:val="auto"/>
        </w:rPr>
        <w:tab/>
      </w:r>
      <w:r>
        <w:rPr>
          <w:rFonts w:ascii="Arial" w:cs="Arial" w:eastAsia="Arial" w:hAnsi="Arial"/>
          <w:sz w:val="18"/>
          <w:szCs w:val="18"/>
          <w:b w:val="1"/>
          <w:bCs w:val="1"/>
          <w:color w:val="auto"/>
        </w:rPr>
        <w:t>1-36246</w:t>
      </w:r>
      <w:r>
        <w:rPr>
          <w:sz w:val="20"/>
          <w:szCs w:val="20"/>
          <w:color w:val="auto"/>
        </w:rPr>
        <w:tab/>
      </w:r>
      <w:r>
        <w:rPr>
          <w:rFonts w:ascii="Arial" w:cs="Arial" w:eastAsia="Arial" w:hAnsi="Arial"/>
          <w:sz w:val="15"/>
          <w:szCs w:val="15"/>
          <w:b w:val="1"/>
          <w:bCs w:val="1"/>
          <w:color w:val="auto"/>
        </w:rPr>
        <w:t>98-1253716</w:t>
      </w:r>
    </w:p>
    <w:p>
      <w:pPr>
        <w:spacing w:after="0" w:line="21" w:lineRule="exact"/>
        <w:rPr>
          <w:sz w:val="24"/>
          <w:szCs w:val="24"/>
          <w:color w:val="auto"/>
        </w:rPr>
      </w:pPr>
    </w:p>
    <w:p>
      <w:pPr>
        <w:ind w:left="260"/>
        <w:spacing w:after="0"/>
        <w:tabs>
          <w:tab w:leader="none" w:pos="4740" w:val="left"/>
          <w:tab w:leader="none" w:pos="8140" w:val="left"/>
        </w:tabs>
        <w:rPr>
          <w:sz w:val="20"/>
          <w:szCs w:val="20"/>
          <w:color w:val="auto"/>
        </w:rPr>
      </w:pPr>
      <w:r>
        <w:rPr>
          <w:rFonts w:ascii="Arial" w:cs="Arial" w:eastAsia="Arial" w:hAnsi="Arial"/>
          <w:sz w:val="18"/>
          <w:szCs w:val="18"/>
          <w:color w:val="auto"/>
        </w:rPr>
        <w:t>(State or Other Jurisdiction of Incorporation)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 Number)</w:t>
      </w:r>
    </w:p>
    <w:p>
      <w:pPr>
        <w:spacing w:after="0" w:line="240"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Three Allen Center</w:t>
      </w:r>
    </w:p>
    <w:p>
      <w:pPr>
        <w:spacing w:after="0" w:line="21"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(Address and zip code of principal executive offices)</w:t>
      </w:r>
    </w:p>
    <w:p>
      <w:pPr>
        <w:spacing w:after="0" w:line="213"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510-2400</w:t>
      </w:r>
    </w:p>
    <w:p>
      <w:pPr>
        <w:spacing w:after="0" w:line="200" w:lineRule="exact"/>
        <w:rPr>
          <w:sz w:val="24"/>
          <w:szCs w:val="24"/>
          <w:color w:val="auto"/>
        </w:rPr>
      </w:pPr>
    </w:p>
    <w:p>
      <w:pPr>
        <w:spacing w:after="0" w:line="268"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w:t>
      </w:r>
    </w:p>
    <w:p>
      <w:pPr>
        <w:spacing w:after="0" w:line="21"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2"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88"/>
              </w:rPr>
              <w:t>Pre-commencement communications pursuant to Rule 14d-2(b) under the Exchange Act (17 CFR 240.14d-2(b))</w:t>
            </w:r>
          </w:p>
        </w:tc>
      </w:tr>
      <w:tr>
        <w:trPr>
          <w:trHeight w:val="222"/>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88"/>
              </w:rPr>
              <w:t>Pre-commencement communications pursuant to Rule 13e-4(c) under the Exchange Act (17 CFR 240.13e-4(c))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5" w:lineRule="exact"/>
        <w:rPr>
          <w:sz w:val="24"/>
          <w:szCs w:val="24"/>
          <w:color w:val="auto"/>
        </w:rPr>
      </w:pPr>
    </w:p>
    <w:p>
      <w:pPr>
        <w:ind w:right="20"/>
        <w:spacing w:after="0" w:line="370" w:lineRule="auto"/>
        <w:rPr>
          <w:sz w:val="20"/>
          <w:szCs w:val="20"/>
          <w:color w:val="auto"/>
        </w:rPr>
      </w:pPr>
      <w:r>
        <w:rPr>
          <w:rFonts w:ascii="Arial" w:cs="Arial" w:eastAsia="Arial" w:hAnsi="Arial"/>
          <w:sz w:val="15"/>
          <w:szCs w:val="15"/>
          <w:color w:val="auto"/>
        </w:rPr>
        <w:t>On November 2, 2015, Civeo Corporation (the "Company") issued a press release announcing its financial condition and results of operations for the quarter ended September 30, 2015. A copy of the press release is furnished as Exhibit 99.1 to this report on Form 8-K, and is incorporated herein by reference.</w:t>
      </w:r>
    </w:p>
    <w:p>
      <w:pPr>
        <w:spacing w:after="0" w:line="116"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information contained in this report and the exhibit hereto shall not be deemed to be "filed" for purposes of Section 18 of the Securities Exchange Act of 1934, as amended, and shall not be incorporated by reference into any filings made by the Company under the Securities Act of 1933, as amended, or the Exchange Act, except as may be expressly set forth by specific reference in such filing.</w:t>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800" w:hanging="252"/>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920" w:type="dxa"/>
            <w:vAlign w:val="bottom"/>
            <w:gridSpan w:val="2"/>
          </w:tcPr>
          <w:p>
            <w:pPr>
              <w:spacing w:after="0"/>
              <w:rPr>
                <w:sz w:val="20"/>
                <w:szCs w:val="20"/>
                <w:color w:val="auto"/>
              </w:rPr>
            </w:pPr>
            <w:r>
              <w:rPr>
                <w:rFonts w:ascii="Arial" w:cs="Arial" w:eastAsia="Arial" w:hAnsi="Arial"/>
                <w:sz w:val="16"/>
                <w:szCs w:val="16"/>
                <w:color w:val="auto"/>
              </w:rPr>
              <w:t>Exhibit</w:t>
            </w:r>
          </w:p>
        </w:tc>
        <w:tc>
          <w:tcPr>
            <w:tcW w:w="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72"/>
        </w:trPr>
        <w:tc>
          <w:tcPr>
            <w:tcW w:w="540" w:type="dxa"/>
            <w:vAlign w:val="bottom"/>
          </w:tcPr>
          <w:p>
            <w:pPr>
              <w:spacing w:after="0" w:line="172" w:lineRule="exact"/>
              <w:rPr>
                <w:sz w:val="20"/>
                <w:szCs w:val="20"/>
                <w:color w:val="auto"/>
              </w:rPr>
            </w:pPr>
            <w:r>
              <w:rPr>
                <w:rFonts w:ascii="Arial" w:cs="Arial" w:eastAsia="Arial" w:hAnsi="Arial"/>
                <w:sz w:val="16"/>
                <w:szCs w:val="16"/>
                <w:color w:val="auto"/>
                <w:w w:val="91"/>
              </w:rPr>
              <w:t>Number</w:t>
            </w:r>
          </w:p>
        </w:tc>
        <w:tc>
          <w:tcPr>
            <w:tcW w:w="380" w:type="dxa"/>
            <w:vAlign w:val="bottom"/>
          </w:tcPr>
          <w:p>
            <w:pPr>
              <w:spacing w:after="0"/>
              <w:rPr>
                <w:sz w:val="14"/>
                <w:szCs w:val="14"/>
                <w:color w:val="auto"/>
              </w:rPr>
            </w:pPr>
          </w:p>
        </w:tc>
        <w:tc>
          <w:tcPr>
            <w:tcW w:w="2920" w:type="dxa"/>
            <w:vAlign w:val="bottom"/>
            <w:gridSpan w:val="3"/>
          </w:tcPr>
          <w:p>
            <w:pPr>
              <w:ind w:left="400"/>
              <w:spacing w:after="0" w:line="172" w:lineRule="exact"/>
              <w:rPr>
                <w:sz w:val="20"/>
                <w:szCs w:val="20"/>
                <w:color w:val="auto"/>
              </w:rPr>
            </w:pPr>
            <w:r>
              <w:rPr>
                <w:rFonts w:ascii="Arial" w:cs="Arial" w:eastAsia="Arial" w:hAnsi="Arial"/>
                <w:sz w:val="16"/>
                <w:szCs w:val="16"/>
                <w:color w:val="auto"/>
              </w:rPr>
              <w:t>Description of Document</w:t>
            </w:r>
          </w:p>
        </w:tc>
      </w:tr>
      <w:tr>
        <w:trPr>
          <w:trHeight w:val="20"/>
        </w:trPr>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636"/>
        </w:trPr>
        <w:tc>
          <w:tcPr>
            <w:tcW w:w="540" w:type="dxa"/>
            <w:vAlign w:val="bottom"/>
          </w:tcPr>
          <w:p>
            <w:pPr>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24"/>
                <w:szCs w:val="24"/>
                <w:color w:val="auto"/>
              </w:rPr>
            </w:pPr>
          </w:p>
        </w:tc>
        <w:tc>
          <w:tcPr>
            <w:tcW w:w="2920" w:type="dxa"/>
            <w:vAlign w:val="bottom"/>
            <w:gridSpan w:val="3"/>
          </w:tcPr>
          <w:p>
            <w:pPr>
              <w:ind w:left="400"/>
              <w:spacing w:after="0"/>
              <w:rPr>
                <w:sz w:val="20"/>
                <w:szCs w:val="20"/>
                <w:color w:val="auto"/>
              </w:rPr>
            </w:pPr>
            <w:r>
              <w:rPr>
                <w:rFonts w:ascii="Arial" w:cs="Arial" w:eastAsia="Arial" w:hAnsi="Arial"/>
                <w:sz w:val="16"/>
                <w:szCs w:val="16"/>
                <w:color w:val="auto"/>
                <w:w w:val="87"/>
              </w:rPr>
              <w:t>Press Release dated November 2, 2015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4"/>
          <w:szCs w:val="24"/>
          <w:color w:val="auto"/>
        </w:rPr>
      </w:pPr>
    </w:p>
    <w:p>
      <w:pPr>
        <w:spacing w:after="0"/>
        <w:tabs>
          <w:tab w:leader="none" w:pos="5400" w:val="left"/>
        </w:tabs>
        <w:rPr>
          <w:sz w:val="20"/>
          <w:szCs w:val="20"/>
          <w:color w:val="auto"/>
        </w:rPr>
      </w:pPr>
      <w:r>
        <w:rPr>
          <w:rFonts w:ascii="Arial" w:cs="Arial" w:eastAsia="Arial" w:hAnsi="Arial"/>
          <w:sz w:val="18"/>
          <w:szCs w:val="18"/>
          <w:color w:val="auto"/>
        </w:rPr>
        <w:t>Date: November 2, 2015</w:t>
      </w:r>
      <w:r>
        <w:rPr>
          <w:sz w:val="20"/>
          <w:szCs w:val="20"/>
          <w:color w:val="auto"/>
        </w:rPr>
        <w:tab/>
      </w:r>
      <w:r>
        <w:rPr>
          <w:rFonts w:ascii="Arial" w:cs="Arial" w:eastAsia="Arial" w:hAnsi="Arial"/>
          <w:sz w:val="16"/>
          <w:szCs w:val="16"/>
          <w:b w:val="1"/>
          <w:bCs w:val="1"/>
          <w:color w:val="auto"/>
        </w:rPr>
        <w:t>Civeo Corporation</w:t>
      </w:r>
    </w:p>
    <w:p>
      <w:pPr>
        <w:spacing w:after="0" w:line="231" w:lineRule="exact"/>
        <w:rPr>
          <w:sz w:val="24"/>
          <w:szCs w:val="24"/>
          <w:color w:val="auto"/>
        </w:rPr>
      </w:pPr>
    </w:p>
    <w:p>
      <w:pPr>
        <w:ind w:left="546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FRANK C. STEININGER</w:t>
      </w:r>
    </w:p>
    <w:p>
      <w:pPr>
        <w:spacing w:after="0" w:line="15"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Frank C. Steininger</w:t>
      </w:r>
    </w:p>
    <w:p>
      <w:pPr>
        <w:spacing w:after="0" w:line="9"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Senior Vice President, Chief Financial</w:t>
      </w:r>
    </w:p>
    <w:p>
      <w:pPr>
        <w:spacing w:after="0" w:line="9"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Officer and Treasurer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74"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Index to Exhibits</w:t>
      </w:r>
    </w:p>
    <w:p>
      <w:pPr>
        <w:sectPr>
          <w:pgSz w:w="11900" w:h="16871" w:orient="portrait"/>
          <w:cols w:equalWidth="0" w:num="1">
            <w:col w:w="11040"/>
          </w:cols>
          <w:pgMar w:left="240" w:top="220" w:right="619" w:bottom="0" w:gutter="0" w:footer="0" w:header="0"/>
        </w:sectPr>
      </w:pPr>
    </w:p>
    <w:p>
      <w:pPr>
        <w:spacing w:after="0" w:line="189" w:lineRule="exact"/>
        <w:rPr>
          <w:sz w:val="24"/>
          <w:szCs w:val="24"/>
          <w:color w:val="auto"/>
        </w:rPr>
      </w:pPr>
    </w:p>
    <w:p>
      <w:pPr>
        <w:spacing w:after="0"/>
        <w:rPr>
          <w:sz w:val="20"/>
          <w:szCs w:val="20"/>
          <w:color w:val="auto"/>
        </w:rPr>
      </w:pPr>
      <w:r>
        <w:rPr>
          <w:rFonts w:ascii="Arial" w:cs="Arial" w:eastAsia="Arial" w:hAnsi="Arial"/>
          <w:sz w:val="15"/>
          <w:szCs w:val="15"/>
          <w:color w:val="auto"/>
        </w:rPr>
        <w:t>Exhibit</w:t>
      </w:r>
    </w:p>
    <w:p>
      <w:pPr>
        <w:sectPr>
          <w:pgSz w:w="11900" w:h="16871" w:orient="portrait"/>
          <w:cols w:equalWidth="0" w:num="1">
            <w:col w:w="11040"/>
          </w:cols>
          <w:pgMar w:left="240" w:top="220" w:right="6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Arial" w:cs="Arial" w:eastAsia="Arial" w:hAnsi="Arial"/>
                <w:sz w:val="16"/>
                <w:szCs w:val="16"/>
                <w:color w:val="auto"/>
                <w:w w:val="91"/>
              </w:rPr>
              <w:t>Number</w:t>
            </w:r>
          </w:p>
        </w:tc>
        <w:tc>
          <w:tcPr>
            <w:tcW w:w="380" w:type="dxa"/>
            <w:vAlign w:val="bottom"/>
          </w:tcPr>
          <w:p>
            <w:pPr>
              <w:spacing w:after="0"/>
              <w:rPr>
                <w:sz w:val="16"/>
                <w:szCs w:val="16"/>
                <w:color w:val="auto"/>
              </w:rPr>
            </w:pPr>
          </w:p>
        </w:tc>
        <w:tc>
          <w:tcPr>
            <w:tcW w:w="2920" w:type="dxa"/>
            <w:vAlign w:val="bottom"/>
            <w:gridSpan w:val="3"/>
          </w:tcPr>
          <w:p>
            <w:pPr>
              <w:ind w:left="400"/>
              <w:spacing w:after="0"/>
              <w:rPr>
                <w:sz w:val="20"/>
                <w:szCs w:val="20"/>
                <w:color w:val="auto"/>
              </w:rPr>
            </w:pPr>
            <w:r>
              <w:rPr>
                <w:rFonts w:ascii="Arial" w:cs="Arial" w:eastAsia="Arial" w:hAnsi="Arial"/>
                <w:sz w:val="16"/>
                <w:szCs w:val="16"/>
                <w:color w:val="auto"/>
              </w:rPr>
              <w:t>Description of Document</w:t>
            </w:r>
          </w:p>
        </w:tc>
      </w:tr>
      <w:tr>
        <w:trPr>
          <w:trHeight w:val="20"/>
        </w:trPr>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649"/>
        </w:trPr>
        <w:tc>
          <w:tcPr>
            <w:tcW w:w="540" w:type="dxa"/>
            <w:vAlign w:val="bottom"/>
          </w:tcPr>
          <w:p>
            <w:pPr>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24"/>
                <w:szCs w:val="24"/>
                <w:color w:val="auto"/>
              </w:rPr>
            </w:pPr>
          </w:p>
        </w:tc>
        <w:tc>
          <w:tcPr>
            <w:tcW w:w="2920" w:type="dxa"/>
            <w:vAlign w:val="bottom"/>
            <w:gridSpan w:val="3"/>
          </w:tcPr>
          <w:p>
            <w:pPr>
              <w:ind w:left="400"/>
              <w:spacing w:after="0"/>
              <w:rPr>
                <w:sz w:val="20"/>
                <w:szCs w:val="20"/>
                <w:color w:val="auto"/>
              </w:rPr>
            </w:pPr>
            <w:r>
              <w:rPr>
                <w:rFonts w:ascii="Arial" w:cs="Arial" w:eastAsia="Arial" w:hAnsi="Arial"/>
                <w:sz w:val="16"/>
                <w:szCs w:val="16"/>
                <w:color w:val="auto"/>
                <w:w w:val="87"/>
              </w:rPr>
              <w:t>Press Release dated November 2, 2015</w:t>
            </w:r>
          </w:p>
        </w:tc>
      </w:tr>
    </w:tbl>
    <w:p>
      <w:pPr>
        <w:sectPr>
          <w:pgSz w:w="11900" w:h="16838" w:orient="portrait"/>
          <w:cols w:equalWidth="0" w:num="1">
            <w:col w:w="10219"/>
          </w:cols>
          <w:pgMar w:left="240" w:top="118"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t>EXHIBIT 99.1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Civeo Announces Third Quarter 2015 Results</w:t>
      </w:r>
    </w:p>
    <w:p>
      <w:pPr>
        <w:spacing w:after="0" w:line="255"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HOUSTON, Nov. 2, 2015 (GLOBE NEWSWIRE) -- Civeo Corporation (NYSE:CVEO) today reported financial and operating results for the third quarter ended September 30, 2015. Highlights include:</w:t>
      </w:r>
    </w:p>
    <w:p>
      <w:pPr>
        <w:spacing w:after="0" w:line="173" w:lineRule="exact"/>
        <w:rPr>
          <w:sz w:val="20"/>
          <w:szCs w:val="20"/>
          <w:color w:val="auto"/>
        </w:rPr>
      </w:pPr>
    </w:p>
    <w:p>
      <w:pPr>
        <w:ind w:right="420" w:firstLine="8"/>
        <w:spacing w:after="0" w:line="251" w:lineRule="auto"/>
        <w:tabs>
          <w:tab w:leader="none" w:pos="126" w:val="left"/>
        </w:tabs>
        <w:numPr>
          <w:ilvl w:val="0"/>
          <w:numId w:val="2"/>
        </w:numPr>
        <w:rPr>
          <w:rFonts w:ascii="Arial" w:cs="Arial" w:eastAsia="Arial" w:hAnsi="Arial"/>
          <w:sz w:val="22"/>
          <w:szCs w:val="22"/>
          <w:color w:val="auto"/>
        </w:rPr>
      </w:pPr>
      <w:r>
        <w:rPr>
          <w:rFonts w:ascii="Arial" w:cs="Arial" w:eastAsia="Arial" w:hAnsi="Arial"/>
          <w:sz w:val="22"/>
          <w:szCs w:val="22"/>
          <w:color w:val="auto"/>
        </w:rPr>
        <w:t>Delivered solid operating cash flows after capital expenditures of $61 million in the third quarter, driven by cost containment, capital discipline and working capital efficiency;</w:t>
      </w:r>
    </w:p>
    <w:p>
      <w:pPr>
        <w:spacing w:after="0" w:line="173" w:lineRule="exact"/>
        <w:rPr>
          <w:rFonts w:ascii="Arial" w:cs="Arial" w:eastAsia="Arial" w:hAnsi="Arial"/>
          <w:sz w:val="22"/>
          <w:szCs w:val="22"/>
          <w:color w:val="auto"/>
        </w:rPr>
      </w:pPr>
    </w:p>
    <w:p>
      <w:pPr>
        <w:ind w:left="140" w:hanging="132"/>
        <w:spacing w:after="0"/>
        <w:tabs>
          <w:tab w:leader="none" w:pos="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Reduced total debt outstanding by 46% to $416 million, down from $775 million at the end of the prior quarter;</w:t>
      </w:r>
    </w:p>
    <w:p>
      <w:pPr>
        <w:spacing w:after="0" w:line="206" w:lineRule="exact"/>
        <w:rPr>
          <w:rFonts w:ascii="Arial" w:cs="Arial" w:eastAsia="Arial" w:hAnsi="Arial"/>
          <w:sz w:val="22"/>
          <w:szCs w:val="22"/>
          <w:color w:val="auto"/>
        </w:rPr>
      </w:pPr>
    </w:p>
    <w:p>
      <w:pPr>
        <w:ind w:right="300" w:firstLine="8"/>
        <w:spacing w:after="0" w:line="251" w:lineRule="auto"/>
        <w:tabs>
          <w:tab w:leader="none" w:pos="126" w:val="left"/>
        </w:tabs>
        <w:numPr>
          <w:ilvl w:val="0"/>
          <w:numId w:val="2"/>
        </w:numPr>
        <w:rPr>
          <w:rFonts w:ascii="Arial" w:cs="Arial" w:eastAsia="Arial" w:hAnsi="Arial"/>
          <w:sz w:val="22"/>
          <w:szCs w:val="22"/>
          <w:color w:val="auto"/>
        </w:rPr>
      </w:pPr>
      <w:r>
        <w:rPr>
          <w:rFonts w:ascii="Arial" w:cs="Arial" w:eastAsia="Arial" w:hAnsi="Arial"/>
          <w:sz w:val="22"/>
          <w:szCs w:val="22"/>
          <w:color w:val="auto"/>
        </w:rPr>
        <w:t>Completed the Company's migration to Canada and refinancing in the third quarter, allowing for a more efficient operating and financial structure; and</w:t>
      </w:r>
    </w:p>
    <w:p>
      <w:pPr>
        <w:spacing w:after="0" w:line="173" w:lineRule="exact"/>
        <w:rPr>
          <w:rFonts w:ascii="Arial" w:cs="Arial" w:eastAsia="Arial" w:hAnsi="Arial"/>
          <w:sz w:val="22"/>
          <w:szCs w:val="22"/>
          <w:color w:val="auto"/>
        </w:rPr>
      </w:pPr>
    </w:p>
    <w:p>
      <w:pPr>
        <w:ind w:right="940" w:firstLine="8"/>
        <w:spacing w:after="0" w:line="251" w:lineRule="auto"/>
        <w:tabs>
          <w:tab w:leader="none" w:pos="126" w:val="left"/>
        </w:tabs>
        <w:numPr>
          <w:ilvl w:val="0"/>
          <w:numId w:val="2"/>
        </w:numPr>
        <w:rPr>
          <w:rFonts w:ascii="Arial" w:cs="Arial" w:eastAsia="Arial" w:hAnsi="Arial"/>
          <w:sz w:val="22"/>
          <w:szCs w:val="22"/>
          <w:color w:val="auto"/>
        </w:rPr>
      </w:pPr>
      <w:r>
        <w:rPr>
          <w:rFonts w:ascii="Arial" w:cs="Arial" w:eastAsia="Arial" w:hAnsi="Arial"/>
          <w:sz w:val="22"/>
          <w:szCs w:val="22"/>
          <w:color w:val="auto"/>
        </w:rPr>
        <w:t>Remained focused on capturing growth in the British Columbia LNG market by advancing the Sitka lodge, maximizing occupancy and revenues, reducing costs and limiting capital spending.</w:t>
      </w:r>
    </w:p>
    <w:p>
      <w:pPr>
        <w:spacing w:after="0" w:line="173"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Bradley J. Dodson, President and Chief Executive Officer, said, "Civeo successfully accomplished several strategic objectives during the third quarter of 2015, the most important being the completion of our migration to Canada in July. The migration, in conjunction with the amendments to our credit facility, immediately allowed us to 1) significantly reduce our outstanding indebtedness and 2) move the majority of our remaining debt balance to Canada. Going forward, we believe we have an improved capital structure that will benefit us both in today's challenging operating environment and in the future.</w:t>
      </w:r>
    </w:p>
    <w:p>
      <w:pPr>
        <w:spacing w:after="0" w:line="148"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color w:val="auto"/>
        </w:rPr>
        <w:t>"Our financial results for the third quarter exceeded the upper end of our expectations, with occupancy in our lodges and villages as expected, and margins and Adjusted EBITDA benefitting from ongoing cost containment initiatives. We are very pleased with the strong free cash flow generated during the quarter, which allowed us to further reduce our debt balance.</w:t>
      </w:r>
    </w:p>
    <w:p>
      <w:pPr>
        <w:spacing w:after="0" w:line="167"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"Though market conditions remain challenged, we continue to see pockets of opportunity in our traditional Canadian oil sands market and steady casual occupancy at certain Australian villages.</w:t>
      </w:r>
    </w:p>
    <w:p>
      <w:pPr>
        <w:spacing w:after="0" w:line="173"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"Our recently opened Sitka Lodge is an example of the success of our integrated business model and early mover land banking strategy. We are excited about the prospect of LNG exports in western Canada, and we believe we are well-positioned for lodge and mobile camp pipeline related opportunities should these large, long-term projects move forward. We are on track with our 436-room Sitka Lodge in Kitimat, British Columbia, which will serve our customers' needs during the preliminary phase of a potential LNG project in the region.</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"We remain focused on our three-pronged approach to the current challenging market environment: driving free cash flow, reducing our leverage and capturing organic growth opportunities. We continued to reduce our leverage in the third quarter by using cash flows that we achieved through cost containment and capital discipline, and we have secured new contracts."</w:t>
      </w:r>
    </w:p>
    <w:p>
      <w:pPr>
        <w:spacing w:after="0" w:line="134" w:lineRule="exact"/>
        <w:rPr>
          <w:sz w:val="20"/>
          <w:szCs w:val="20"/>
          <w:color w:val="auto"/>
        </w:rPr>
      </w:pPr>
    </w:p>
    <w:p>
      <w:pPr>
        <w:ind w:right="220"/>
        <w:spacing w:after="0" w:line="328" w:lineRule="auto"/>
        <w:rPr>
          <w:sz w:val="20"/>
          <w:szCs w:val="20"/>
          <w:color w:val="auto"/>
        </w:rPr>
      </w:pPr>
      <w:r>
        <w:rPr>
          <w:rFonts w:ascii="Arial" w:cs="Arial" w:eastAsia="Arial" w:hAnsi="Arial"/>
          <w:sz w:val="19"/>
          <w:szCs w:val="19"/>
          <w:color w:val="auto"/>
        </w:rPr>
        <w:t>Mr. Dodson concluded, "With the migration and refinancing complete, Civeo is well positioned to navigate through this period of lower commodity prices and activity levels and capitalize on the longer-term growth opportunities that will arise."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THIRD QUARTER 2015 RESULTS</w:t>
      </w:r>
    </w:p>
    <w:p>
      <w:pPr>
        <w:spacing w:after="0" w:line="206"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color w:val="auto"/>
        </w:rPr>
        <w:t>In the third quarter of 2015, the Company generated revenues of $106.5 million and Adjusted EBITDA of $25.3 million. Net loss was $107.7 million, or a loss of $1.01 per diluted share, which included $113.7 million in pre-tax charges, or $0.86 per diluted share after-tax, related to goodwill and fixed asset impairments and costs incurred in connection with the migration to Canada. Excluding these charges, adjusted net loss was $15.1 million, or a loss of $0.15 per diluted share.</w:t>
      </w:r>
    </w:p>
    <w:p>
      <w:pPr>
        <w:spacing w:after="0" w:line="143"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(EBITDA is a non-GAAP financial measure that is defined as net income plus interest, taxes, depreciation and amortization, and Adjusted EBITDA is defined as EBITDA adjusted to exclude impairment charges and certain other costs such as those directly associated with the 2014 spin-off from Oil States International and the migration to Canada. Please see a reconciliation to GAAP measures at the end of this news release.)</w:t>
      </w:r>
    </w:p>
    <w:p>
      <w:pPr>
        <w:spacing w:after="0" w:line="185"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By comparison, in the third quarter of 2014, the Company generated revenues of $243.3 million. Net income in the year-ago period was $32.4 million, or $0.30 per diluted share, which included a $0.01 per diluted share after-tax loss from transition costs incurred in connection with the spin-off. Adjusted EBITDA was $92.5 million.</w:t>
      </w:r>
    </w:p>
    <w:p>
      <w:pPr>
        <w:spacing w:after="0" w:line="186"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Revenues and Adjusted EBITDA declined in 2015 as compared to 2014 primarily due to lower occupancy levels. In addition, third quarter 2015 results were reduced by the unfavorable impact of a stronger U.S. dollar compared to the Canadian and Australian dollars, which declined in relative value by 17% and 22%, respectively, on a year-over-year basis.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BUSINESS SEGMENT RESULTS</w:t>
      </w:r>
    </w:p>
    <w:p>
      <w:pPr>
        <w:spacing w:after="0" w:line="206"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(Unless otherwise noted, the following discussion compares the quarterly results for the third quarter of 2015 to the results for the third quarter of 2014. The 2015 results discussed below exclude the goodwill and fixed asset impairment and migration related expenses noted above.)</w:t>
      </w:r>
    </w:p>
    <w:p>
      <w:pPr>
        <w:sectPr>
          <w:pgSz w:w="11900" w:h="16838" w:orient="portrait"/>
          <w:cols w:equalWidth="0" w:num="1">
            <w:col w:w="11420"/>
          </w:cols>
          <w:pgMar w:left="240" w:top="118" w:right="239" w:bottom="0" w:gutter="0" w:footer="0" w:header="0"/>
        </w:sectPr>
      </w:pPr>
    </w:p>
    <w:bookmarkStart w:id="3" w:name="page4"/>
    <w:bookmarkEnd w:id="3"/>
    <w:p>
      <w:pPr>
        <w:spacing w:after="0"/>
        <w:rPr>
          <w:sz w:val="20"/>
          <w:szCs w:val="20"/>
          <w:color w:val="auto"/>
        </w:rPr>
      </w:pPr>
      <w:r>
        <w:rPr>
          <w:rFonts w:ascii="Arial" w:cs="Arial" w:eastAsia="Arial" w:hAnsi="Arial"/>
          <w:sz w:val="22"/>
          <w:szCs w:val="22"/>
          <w:u w:val="single" w:color="auto"/>
          <w:color w:val="auto"/>
        </w:rPr>
        <w:t>Canada</w:t>
      </w:r>
    </w:p>
    <w:p>
      <w:pPr>
        <w:spacing w:after="0" w:line="207"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The Canadian segment generated revenues of $71.5 million and Adjusted EBITDA of $19.5 million for the third quarter of 2015 compared to revenues of $174.1 million and Adjusted EBITDA of $67.1 million in the third quarter of 2014. The Company's third quarter 2015 results were negatively impacted by a weaker Canadian dollar relative to the U.S. dollar, which reduced revenues by $14.4 million and Adjusted EBITDA by $3.7 million. Excluding the year-over-year impact of exchange rates, revenues would have decreased $88.2 million and Adjusted EBITDA would have decreased by $43.9 million. On a constant currency basis, revenues decreased due to reduced occupancy at lodges as well as lower contract camp revenue due to large pipeline projects in 2014 that did not recur in 2015. These items were partially offset by the ramping up of the Company's McClelland Lake Lodge in the third quarter of 2014. Additionally, excluding the 2014 benefit associated with a $2.0 million refund of medical premiums, selling, general and administrative expenses were lower year-over-year due to cost containment efforts resulting from lower headcount levels and overhead costs.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Australia</w:t>
      </w:r>
    </w:p>
    <w:p>
      <w:pPr>
        <w:spacing w:after="0" w:line="206" w:lineRule="exact"/>
        <w:rPr>
          <w:sz w:val="20"/>
          <w:szCs w:val="20"/>
          <w:color w:val="auto"/>
        </w:rPr>
      </w:pPr>
    </w:p>
    <w:p>
      <w:pPr>
        <w:ind w:right="120"/>
        <w:spacing w:after="0" w:line="277" w:lineRule="auto"/>
        <w:rPr>
          <w:sz w:val="20"/>
          <w:szCs w:val="20"/>
          <w:color w:val="auto"/>
        </w:rPr>
      </w:pPr>
      <w:r>
        <w:rPr>
          <w:rFonts w:ascii="Arial" w:cs="Arial" w:eastAsia="Arial" w:hAnsi="Arial"/>
          <w:sz w:val="19"/>
          <w:szCs w:val="19"/>
          <w:color w:val="auto"/>
        </w:rPr>
        <w:t>The Australian segment generated revenues of $29.2 million and Adjusted EBITDA of $11.7 million for the third quarter of 2015 compared to revenues of $54.0 million and Adjusted EBITDA of $27.0 million in the third quarter of 2014. The Company's third quarter 2015 results were negatively impacted by a weaker Australian dollar relative to the U.S. dollar, which reduced revenues by $8.0 million and Adjusted EBITDA by $3.2 million. Excluding the year-over-year impact of exchange rates, revenues would have decreased $16.8 million and Adjusted EBITDA would have decreased by $12.1 million. On a constant currency basis, the revenue and Adjusted EBITDA declines were primarily due to lower occupancy resulting from reduced customer commitments and lower overall customer activity and spending primarily in the Bowen Basin.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w:t>
      </w:r>
    </w:p>
    <w:p>
      <w:pPr>
        <w:spacing w:after="0" w:line="206"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The U.S. segment generated revenues of $5.9 million and Adjusted EBITDA of ($1.0) million for the third quarter of 2015, compared to revenues of $15.2 million and Adjusted EBITDA of $4.0 million in the third quarter of 2014. Revenue and Adjusted EBITDA decreased year-over-year due to lower U.S. drilling activity in the Bakken, Rockies and Texas markets, increased competition and lower pricing.</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06" w:lineRule="exact"/>
        <w:rPr>
          <w:sz w:val="20"/>
          <w:szCs w:val="20"/>
          <w:color w:val="auto"/>
        </w:rPr>
      </w:pPr>
    </w:p>
    <w:p>
      <w:pPr>
        <w:ind w:right="340"/>
        <w:spacing w:after="0" w:line="328" w:lineRule="auto"/>
        <w:rPr>
          <w:sz w:val="20"/>
          <w:szCs w:val="20"/>
          <w:color w:val="auto"/>
        </w:rPr>
      </w:pPr>
      <w:r>
        <w:rPr>
          <w:rFonts w:ascii="Arial" w:cs="Arial" w:eastAsia="Arial" w:hAnsi="Arial"/>
          <w:sz w:val="19"/>
          <w:szCs w:val="19"/>
          <w:color w:val="auto"/>
        </w:rPr>
        <w:t>The Company recognized an income tax benefit of $22.7 million, which resulted in an effective tax rate of 17.5% in the third quarter of 2015 compared to an income tax expense which resulted in an effective tax rate of 21.6% in the third quarter of 2014.</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As of September 30, 2015, the Company had total liquidity of approximately $312.2 million, comprising $299.6 million available under its amended credit facilities and $12.6 million of cash on hand.</w:t>
      </w:r>
    </w:p>
    <w:p>
      <w:pPr>
        <w:spacing w:after="0" w:line="173"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During the third quarter, the Company reduced total debt outstanding by 46% to $416 million at September 30, 2015, down from $775 million at the end of the prior quarter.</w:t>
      </w:r>
    </w:p>
    <w:p>
      <w:pPr>
        <w:spacing w:after="0" w:line="173" w:lineRule="exact"/>
        <w:rPr>
          <w:sz w:val="20"/>
          <w:szCs w:val="20"/>
          <w:color w:val="auto"/>
        </w:rPr>
      </w:pPr>
    </w:p>
    <w:p>
      <w:pPr>
        <w:ind w:right="320"/>
        <w:spacing w:after="0" w:line="328" w:lineRule="auto"/>
        <w:rPr>
          <w:sz w:val="20"/>
          <w:szCs w:val="20"/>
          <w:color w:val="auto"/>
        </w:rPr>
      </w:pPr>
      <w:r>
        <w:rPr>
          <w:rFonts w:ascii="Arial" w:cs="Arial" w:eastAsia="Arial" w:hAnsi="Arial"/>
          <w:sz w:val="19"/>
          <w:szCs w:val="19"/>
          <w:color w:val="auto"/>
        </w:rPr>
        <w:t>The Company invested $19.6 million in capital expenditures during the third quarter of 2015, primarily related to routine capital maintenance. Civeo currently expects capital expenditures of approximately $60 million to $70 million for the full year 2015.</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GUIDANCE</w:t>
      </w:r>
    </w:p>
    <w:p>
      <w:pPr>
        <w:spacing w:after="0" w:line="206"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For the fourth quarter of 2015, the Company expects revenues of $90 million to $104 million and adjusted EBITDA of $15 million to $20 million.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CONFERENCE CALL</w:t>
      </w:r>
    </w:p>
    <w:p>
      <w:pPr>
        <w:spacing w:after="0" w:line="206"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Civeo will answer questions about its third quarter 2015 financial results during an investor conference call today at 11:00 a.m. Eastern time. This call is being webcast and can be accessed at Civeo's website at www.civeo.com. Participants may also join the conference call by dialing (800) 774-6070 in the United States or (630) 691-2753 internationally and using the passcode 6684858. A replay will be available after the call by dialing (888) 843-7419 in the United States or (630) 652-3042 internationally and entering the passcode 6684858.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pacing w:after="0" w:line="206" w:lineRule="exact"/>
        <w:rPr>
          <w:sz w:val="20"/>
          <w:szCs w:val="20"/>
          <w:color w:val="auto"/>
        </w:rPr>
      </w:pPr>
    </w:p>
    <w:p>
      <w:pPr>
        <w:ind w:right="180"/>
        <w:spacing w:after="0" w:line="235" w:lineRule="auto"/>
        <w:rPr>
          <w:sz w:val="20"/>
          <w:szCs w:val="20"/>
          <w:color w:val="auto"/>
        </w:rPr>
      </w:pPr>
      <w:r>
        <w:rPr>
          <w:rFonts w:ascii="Arial" w:cs="Arial" w:eastAsia="Arial" w:hAnsi="Arial"/>
          <w:sz w:val="22"/>
          <w:szCs w:val="22"/>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sixteen lodges and villages in operation in Canada and Australia, with an aggregate of more than 22,000 rooms. Civeo is publicly traded under the symbol CVEO on the NYSE. For more information, please visit Civeo's website at www.civeo.com.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ectPr>
          <w:pgSz w:w="11900" w:h="16838" w:orient="portrait"/>
          <w:cols w:equalWidth="0" w:num="1">
            <w:col w:w="11420"/>
          </w:cols>
          <w:pgMar w:left="240" w:top="118" w:right="239" w:bottom="0" w:gutter="0" w:footer="0" w:header="0"/>
        </w:sectPr>
      </w:pPr>
    </w:p>
    <w:bookmarkStart w:id="4" w:name="page5"/>
    <w:bookmarkEnd w:id="4"/>
    <w:p>
      <w:pPr>
        <w:spacing w:after="0" w:line="271" w:lineRule="auto"/>
        <w:rPr>
          <w:sz w:val="20"/>
          <w:szCs w:val="20"/>
          <w:color w:val="auto"/>
        </w:rPr>
      </w:pPr>
      <w:r>
        <w:rPr>
          <w:rFonts w:ascii="Arial" w:cs="Arial" w:eastAsia="Arial" w:hAnsi="Arial"/>
          <w:sz w:val="19"/>
          <w:szCs w:val="19"/>
          <w:color w:val="auto"/>
        </w:rPr>
        <w:t>The foregoing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forward-looking statements. Such risks and uncertainties include, among other things, risks associated with the general nature of the accommodations industry,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the Company's migration, including, among other things, risks associated with changes in tax laws or their interpretations, the ability to realize the anticipated benefits thereof, the impact thereof on the Company's relationships, including with employees, customers, competitors and investors, and other factors discussed in the "Business" and "Risk Factors" sections of the Company's annual report on Form 10-K for the year ended December 31, 2014, the definitive proxy statement/prospectus with respect to the migration filed with the Securities and Exchange Commission ("SEC") on April 8, 2015 and the Company's subsequent SEC filings. Except as required by law, the Company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CONDENSED CONSOLIDATED STATEMENTS OF OPERATIONS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356"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266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rPr>
              <w:t>THREE MONTHS ENDED</w:t>
            </w:r>
          </w:p>
        </w:tc>
        <w:tc>
          <w:tcPr>
            <w:tcW w:w="240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6200" w:type="dxa"/>
            <w:vAlign w:val="bottom"/>
          </w:tcPr>
          <w:p>
            <w:pPr>
              <w:spacing w:after="0"/>
              <w:rPr>
                <w:sz w:val="18"/>
                <w:szCs w:val="18"/>
                <w:color w:val="auto"/>
              </w:rPr>
            </w:pPr>
          </w:p>
        </w:tc>
        <w:tc>
          <w:tcPr>
            <w:tcW w:w="2660" w:type="dxa"/>
            <w:vAlign w:val="bottom"/>
            <w:gridSpan w:val="4"/>
          </w:tcPr>
          <w:p>
            <w:pPr>
              <w:jc w:val="right"/>
              <w:ind w:right="720"/>
              <w:spacing w:after="0"/>
              <w:rPr>
                <w:sz w:val="20"/>
                <w:szCs w:val="20"/>
                <w:color w:val="auto"/>
              </w:rPr>
            </w:pPr>
            <w:r>
              <w:rPr>
                <w:rFonts w:ascii="Arial" w:cs="Arial" w:eastAsia="Arial" w:hAnsi="Arial"/>
                <w:sz w:val="16"/>
                <w:szCs w:val="16"/>
                <w:b w:val="1"/>
                <w:bCs w:val="1"/>
                <w:color w:val="auto"/>
              </w:rPr>
              <w:t>SEPTEMBER 30,</w:t>
            </w:r>
          </w:p>
        </w:tc>
        <w:tc>
          <w:tcPr>
            <w:tcW w:w="240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3"/>
        </w:trPr>
        <w:tc>
          <w:tcPr>
            <w:tcW w:w="6200" w:type="dxa"/>
            <w:vAlign w:val="bottom"/>
          </w:tcPr>
          <w:p>
            <w:pPr>
              <w:spacing w:after="0"/>
              <w:rPr>
                <w:sz w:val="22"/>
                <w:szCs w:val="22"/>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11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541"/>
        </w:trPr>
        <w:tc>
          <w:tcPr>
            <w:tcW w:w="6200" w:type="dxa"/>
            <w:vAlign w:val="bottom"/>
          </w:tcPr>
          <w:p>
            <w:pPr>
              <w:spacing w:after="0"/>
              <w:rPr>
                <w:sz w:val="20"/>
                <w:szCs w:val="20"/>
                <w:color w:val="auto"/>
              </w:rPr>
            </w:pPr>
            <w:r>
              <w:rPr>
                <w:rFonts w:ascii="Arial" w:cs="Arial" w:eastAsia="Arial" w:hAnsi="Arial"/>
                <w:sz w:val="16"/>
                <w:szCs w:val="16"/>
                <w:color w:val="auto"/>
              </w:rPr>
              <w:t>Revenues</w:t>
            </w:r>
          </w:p>
        </w:tc>
        <w:tc>
          <w:tcPr>
            <w:tcW w:w="1320" w:type="dxa"/>
            <w:vAlign w:val="bottom"/>
          </w:tcPr>
          <w:p>
            <w:pPr>
              <w:jc w:val="right"/>
              <w:spacing w:after="0"/>
              <w:rPr>
                <w:sz w:val="20"/>
                <w:szCs w:val="20"/>
                <w:color w:val="auto"/>
              </w:rPr>
            </w:pPr>
            <w:r>
              <w:rPr>
                <w:rFonts w:ascii="Arial" w:cs="Arial" w:eastAsia="Arial" w:hAnsi="Arial"/>
                <w:sz w:val="16"/>
                <w:szCs w:val="16"/>
                <w:color w:val="auto"/>
              </w:rPr>
              <w:t>$ 106,544</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$ 243,265</w:t>
            </w: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$ 420,678</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$ 723,197</w:t>
            </w:r>
          </w:p>
        </w:tc>
        <w:tc>
          <w:tcPr>
            <w:tcW w:w="0" w:type="dxa"/>
            <w:vAlign w:val="bottom"/>
          </w:tcPr>
          <w:p>
            <w:pPr>
              <w:spacing w:after="0"/>
              <w:rPr>
                <w:sz w:val="1"/>
                <w:szCs w:val="1"/>
                <w:color w:val="auto"/>
              </w:rPr>
            </w:pPr>
          </w:p>
        </w:tc>
      </w:tr>
      <w:tr>
        <w:trPr>
          <w:trHeight w:val="540"/>
        </w:trPr>
        <w:tc>
          <w:tcPr>
            <w:tcW w:w="6200" w:type="dxa"/>
            <w:vAlign w:val="bottom"/>
          </w:tcPr>
          <w:p>
            <w:pPr>
              <w:spacing w:after="0"/>
              <w:rPr>
                <w:sz w:val="20"/>
                <w:szCs w:val="20"/>
                <w:color w:val="auto"/>
              </w:rPr>
            </w:pPr>
            <w:r>
              <w:rPr>
                <w:rFonts w:ascii="Arial" w:cs="Arial" w:eastAsia="Arial" w:hAnsi="Arial"/>
                <w:sz w:val="16"/>
                <w:szCs w:val="16"/>
                <w:color w:val="auto"/>
              </w:rPr>
              <w:t>Costs and expenses:</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Arial" w:cs="Arial" w:eastAsia="Arial" w:hAnsi="Arial"/>
                <w:sz w:val="16"/>
                <w:szCs w:val="16"/>
                <w:color w:val="auto"/>
              </w:rPr>
              <w:t>Cost of sales and services</w:t>
            </w:r>
          </w:p>
        </w:tc>
        <w:tc>
          <w:tcPr>
            <w:tcW w:w="1320" w:type="dxa"/>
            <w:vAlign w:val="bottom"/>
          </w:tcPr>
          <w:p>
            <w:pPr>
              <w:jc w:val="right"/>
              <w:spacing w:after="0"/>
              <w:rPr>
                <w:sz w:val="20"/>
                <w:szCs w:val="20"/>
                <w:color w:val="auto"/>
              </w:rPr>
            </w:pPr>
            <w:r>
              <w:rPr>
                <w:rFonts w:ascii="Arial" w:cs="Arial" w:eastAsia="Arial" w:hAnsi="Arial"/>
                <w:sz w:val="16"/>
                <w:szCs w:val="16"/>
                <w:color w:val="auto"/>
              </w:rPr>
              <w:t>69,751</w:t>
            </w:r>
          </w:p>
        </w:tc>
        <w:tc>
          <w:tcPr>
            <w:tcW w:w="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137,101</w:t>
            </w:r>
          </w:p>
        </w:tc>
        <w:tc>
          <w:tcPr>
            <w:tcW w:w="8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262,086</w:t>
            </w:r>
          </w:p>
        </w:tc>
        <w:tc>
          <w:tcPr>
            <w:tcW w:w="1100" w:type="dxa"/>
            <w:vAlign w:val="bottom"/>
          </w:tcPr>
          <w:p>
            <w:pPr>
              <w:jc w:val="right"/>
              <w:spacing w:after="0"/>
              <w:rPr>
                <w:sz w:val="20"/>
                <w:szCs w:val="20"/>
                <w:color w:val="auto"/>
              </w:rPr>
            </w:pPr>
            <w:r>
              <w:rPr>
                <w:rFonts w:ascii="Arial" w:cs="Arial" w:eastAsia="Arial" w:hAnsi="Arial"/>
                <w:sz w:val="16"/>
                <w:szCs w:val="16"/>
                <w:color w:val="auto"/>
              </w:rPr>
              <w:t>413,916</w:t>
            </w: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1320" w:type="dxa"/>
            <w:vAlign w:val="bottom"/>
          </w:tcPr>
          <w:p>
            <w:pPr>
              <w:jc w:val="right"/>
              <w:spacing w:after="0"/>
              <w:rPr>
                <w:sz w:val="20"/>
                <w:szCs w:val="20"/>
                <w:color w:val="auto"/>
              </w:rPr>
            </w:pPr>
            <w:r>
              <w:rPr>
                <w:rFonts w:ascii="Arial" w:cs="Arial" w:eastAsia="Arial" w:hAnsi="Arial"/>
                <w:sz w:val="16"/>
                <w:szCs w:val="16"/>
                <w:color w:val="auto"/>
              </w:rPr>
              <w:t>16,691</w:t>
            </w:r>
          </w:p>
        </w:tc>
        <w:tc>
          <w:tcPr>
            <w:tcW w:w="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13,216</w:t>
            </w:r>
          </w:p>
        </w:tc>
        <w:tc>
          <w:tcPr>
            <w:tcW w:w="8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51,796</w:t>
            </w:r>
          </w:p>
        </w:tc>
        <w:tc>
          <w:tcPr>
            <w:tcW w:w="1100" w:type="dxa"/>
            <w:vAlign w:val="bottom"/>
          </w:tcPr>
          <w:p>
            <w:pPr>
              <w:jc w:val="right"/>
              <w:spacing w:after="0"/>
              <w:rPr>
                <w:sz w:val="20"/>
                <w:szCs w:val="20"/>
                <w:color w:val="auto"/>
              </w:rPr>
            </w:pPr>
            <w:r>
              <w:rPr>
                <w:rFonts w:ascii="Arial" w:cs="Arial" w:eastAsia="Arial" w:hAnsi="Arial"/>
                <w:sz w:val="16"/>
                <w:szCs w:val="16"/>
                <w:color w:val="auto"/>
              </w:rPr>
              <w:t>51,069</w:t>
            </w: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Arial" w:cs="Arial" w:eastAsia="Arial" w:hAnsi="Arial"/>
                <w:sz w:val="16"/>
                <w:szCs w:val="16"/>
                <w:color w:val="auto"/>
              </w:rPr>
              <w:t>Spin-off and formation costs</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1,028</w:t>
            </w:r>
          </w:p>
        </w:tc>
        <w:tc>
          <w:tcPr>
            <w:tcW w:w="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3,497</w:t>
            </w: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Arial" w:cs="Arial" w:eastAsia="Arial" w:hAnsi="Arial"/>
                <w:sz w:val="16"/>
                <w:szCs w:val="16"/>
                <w:color w:val="auto"/>
              </w:rPr>
              <w:t>Depreciation and amortization expense</w:t>
            </w:r>
          </w:p>
        </w:tc>
        <w:tc>
          <w:tcPr>
            <w:tcW w:w="1320" w:type="dxa"/>
            <w:vAlign w:val="bottom"/>
          </w:tcPr>
          <w:p>
            <w:pPr>
              <w:jc w:val="right"/>
              <w:spacing w:after="0"/>
              <w:rPr>
                <w:sz w:val="20"/>
                <w:szCs w:val="20"/>
                <w:color w:val="auto"/>
              </w:rPr>
            </w:pPr>
            <w:r>
              <w:rPr>
                <w:rFonts w:ascii="Arial" w:cs="Arial" w:eastAsia="Arial" w:hAnsi="Arial"/>
                <w:sz w:val="16"/>
                <w:szCs w:val="16"/>
                <w:color w:val="auto"/>
              </w:rPr>
              <w:t>36,172</w:t>
            </w:r>
          </w:p>
        </w:tc>
        <w:tc>
          <w:tcPr>
            <w:tcW w:w="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45,758</w:t>
            </w:r>
          </w:p>
        </w:tc>
        <w:tc>
          <w:tcPr>
            <w:tcW w:w="8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121,159</w:t>
            </w:r>
          </w:p>
        </w:tc>
        <w:tc>
          <w:tcPr>
            <w:tcW w:w="1100" w:type="dxa"/>
            <w:vAlign w:val="bottom"/>
          </w:tcPr>
          <w:p>
            <w:pPr>
              <w:jc w:val="right"/>
              <w:spacing w:after="0"/>
              <w:rPr>
                <w:sz w:val="20"/>
                <w:szCs w:val="20"/>
                <w:color w:val="auto"/>
              </w:rPr>
            </w:pPr>
            <w:r>
              <w:rPr>
                <w:rFonts w:ascii="Arial" w:cs="Arial" w:eastAsia="Arial" w:hAnsi="Arial"/>
                <w:sz w:val="16"/>
                <w:szCs w:val="16"/>
                <w:color w:val="auto"/>
              </w:rPr>
              <w:t>127,770</w:t>
            </w: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Arial" w:cs="Arial" w:eastAsia="Arial" w:hAnsi="Arial"/>
                <w:sz w:val="16"/>
                <w:szCs w:val="16"/>
                <w:color w:val="auto"/>
              </w:rPr>
              <w:t>Impairment expense</w:t>
            </w:r>
          </w:p>
        </w:tc>
        <w:tc>
          <w:tcPr>
            <w:tcW w:w="1320" w:type="dxa"/>
            <w:vAlign w:val="bottom"/>
          </w:tcPr>
          <w:p>
            <w:pPr>
              <w:jc w:val="right"/>
              <w:spacing w:after="0"/>
              <w:rPr>
                <w:sz w:val="20"/>
                <w:szCs w:val="20"/>
                <w:color w:val="auto"/>
              </w:rPr>
            </w:pPr>
            <w:r>
              <w:rPr>
                <w:rFonts w:ascii="Arial" w:cs="Arial" w:eastAsia="Arial" w:hAnsi="Arial"/>
                <w:sz w:val="16"/>
                <w:szCs w:val="16"/>
                <w:color w:val="auto"/>
              </w:rPr>
              <w:t>110,715</w:t>
            </w:r>
          </w:p>
        </w:tc>
        <w:tc>
          <w:tcPr>
            <w:tcW w:w="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122,926</w:t>
            </w:r>
          </w:p>
        </w:tc>
        <w:tc>
          <w:tcPr>
            <w:tcW w:w="1100" w:type="dxa"/>
            <w:vAlign w:val="bottom"/>
          </w:tcPr>
          <w:p>
            <w:pPr>
              <w:jc w:val="right"/>
              <w:spacing w:after="0"/>
              <w:rPr>
                <w:sz w:val="20"/>
                <w:szCs w:val="20"/>
                <w:color w:val="auto"/>
              </w:rPr>
            </w:pPr>
            <w:r>
              <w:rPr>
                <w:rFonts w:ascii="Arial" w:cs="Arial" w:eastAsia="Arial" w:hAnsi="Arial"/>
                <w:sz w:val="16"/>
                <w:szCs w:val="16"/>
                <w:color w:val="auto"/>
              </w:rPr>
              <w:t>11,610</w:t>
            </w:r>
          </w:p>
        </w:tc>
        <w:tc>
          <w:tcPr>
            <w:tcW w:w="0" w:type="dxa"/>
            <w:vAlign w:val="bottom"/>
          </w:tcPr>
          <w:p>
            <w:pPr>
              <w:spacing w:after="0"/>
              <w:rPr>
                <w:sz w:val="1"/>
                <w:szCs w:val="1"/>
                <w:color w:val="auto"/>
              </w:rPr>
            </w:pPr>
          </w:p>
        </w:tc>
      </w:tr>
      <w:tr>
        <w:trPr>
          <w:trHeight w:val="263"/>
        </w:trPr>
        <w:tc>
          <w:tcPr>
            <w:tcW w:w="6200" w:type="dxa"/>
            <w:vAlign w:val="bottom"/>
          </w:tcPr>
          <w:p>
            <w:pPr>
              <w:ind w:left="140"/>
              <w:spacing w:after="0"/>
              <w:rPr>
                <w:sz w:val="20"/>
                <w:szCs w:val="20"/>
                <w:color w:val="auto"/>
              </w:rPr>
            </w:pPr>
            <w:r>
              <w:rPr>
                <w:rFonts w:ascii="Arial" w:cs="Arial" w:eastAsia="Arial" w:hAnsi="Arial"/>
                <w:sz w:val="16"/>
                <w:szCs w:val="16"/>
                <w:color w:val="auto"/>
              </w:rPr>
              <w:t>Other operating income (expense)</w:t>
            </w:r>
          </w:p>
        </w:tc>
        <w:tc>
          <w:tcPr>
            <w:tcW w:w="1320" w:type="dxa"/>
            <w:vAlign w:val="bottom"/>
          </w:tcPr>
          <w:p>
            <w:pPr>
              <w:jc w:val="right"/>
              <w:spacing w:after="0"/>
              <w:rPr>
                <w:sz w:val="20"/>
                <w:szCs w:val="20"/>
                <w:color w:val="auto"/>
              </w:rPr>
            </w:pPr>
            <w:r>
              <w:rPr>
                <w:rFonts w:ascii="Arial" w:cs="Arial" w:eastAsia="Arial" w:hAnsi="Arial"/>
                <w:sz w:val="16"/>
                <w:szCs w:val="16"/>
                <w:color w:val="auto"/>
              </w:rPr>
              <w:t>(3,945)</w:t>
            </w:r>
          </w:p>
        </w:tc>
        <w:tc>
          <w:tcPr>
            <w:tcW w:w="80" w:type="dxa"/>
            <w:vAlign w:val="bottom"/>
          </w:tcPr>
          <w:p>
            <w:pPr>
              <w:spacing w:after="0"/>
              <w:rPr>
                <w:sz w:val="22"/>
                <w:szCs w:val="2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165</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(5,188)</w:t>
            </w:r>
          </w:p>
        </w:tc>
        <w:tc>
          <w:tcPr>
            <w:tcW w:w="1100" w:type="dxa"/>
            <w:vAlign w:val="bottom"/>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229,384</w:t>
            </w: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197,268</w:t>
            </w:r>
          </w:p>
        </w:tc>
        <w:tc>
          <w:tcPr>
            <w:tcW w:w="8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552,779</w:t>
            </w:r>
          </w:p>
        </w:tc>
        <w:tc>
          <w:tcPr>
            <w:tcW w:w="1100" w:type="dxa"/>
            <w:vAlign w:val="bottom"/>
          </w:tcPr>
          <w:p>
            <w:pPr>
              <w:jc w:val="right"/>
              <w:spacing w:after="0"/>
              <w:rPr>
                <w:sz w:val="20"/>
                <w:szCs w:val="20"/>
                <w:color w:val="auto"/>
              </w:rPr>
            </w:pPr>
            <w:r>
              <w:rPr>
                <w:rFonts w:ascii="Arial" w:cs="Arial" w:eastAsia="Arial" w:hAnsi="Arial"/>
                <w:sz w:val="16"/>
                <w:szCs w:val="16"/>
                <w:color w:val="auto"/>
              </w:rPr>
              <w:t>608,114</w:t>
            </w:r>
          </w:p>
        </w:tc>
        <w:tc>
          <w:tcPr>
            <w:tcW w:w="0" w:type="dxa"/>
            <w:vAlign w:val="bottom"/>
          </w:tcPr>
          <w:p>
            <w:pPr>
              <w:spacing w:after="0"/>
              <w:rPr>
                <w:sz w:val="1"/>
                <w:szCs w:val="1"/>
                <w:color w:val="auto"/>
              </w:rPr>
            </w:pPr>
          </w:p>
        </w:tc>
      </w:tr>
      <w:tr>
        <w:trPr>
          <w:trHeight w:val="271"/>
        </w:trPr>
        <w:tc>
          <w:tcPr>
            <w:tcW w:w="6200" w:type="dxa"/>
            <w:vAlign w:val="bottom"/>
          </w:tcPr>
          <w:p>
            <w:pPr>
              <w:spacing w:after="0"/>
              <w:rPr>
                <w:sz w:val="20"/>
                <w:szCs w:val="20"/>
                <w:color w:val="auto"/>
              </w:rPr>
            </w:pPr>
            <w:r>
              <w:rPr>
                <w:rFonts w:ascii="Arial" w:cs="Arial" w:eastAsia="Arial" w:hAnsi="Arial"/>
                <w:sz w:val="16"/>
                <w:szCs w:val="16"/>
                <w:color w:val="auto"/>
              </w:rPr>
              <w:t>Operating income (loss)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(122,840)</w:t>
            </w:r>
          </w:p>
        </w:tc>
        <w:tc>
          <w:tcPr>
            <w:tcW w:w="80" w:type="dxa"/>
            <w:vAlign w:val="bottom"/>
          </w:tcPr>
          <w:p>
            <w:pPr>
              <w:spacing w:after="0"/>
              <w:rPr>
                <w:sz w:val="23"/>
                <w:szCs w:val="2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45,997</w:t>
            </w:r>
          </w:p>
        </w:tc>
        <w:tc>
          <w:tcPr>
            <w:tcW w:w="80" w:type="dxa"/>
            <w:vAlign w:val="bottom"/>
          </w:tcPr>
          <w:p>
            <w:pPr>
              <w:spacing w:after="0"/>
              <w:rPr>
                <w:sz w:val="23"/>
                <w:szCs w:val="23"/>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(132,101)</w:t>
            </w:r>
          </w:p>
        </w:tc>
        <w:tc>
          <w:tcPr>
            <w:tcW w:w="80" w:type="dxa"/>
            <w:vAlign w:val="bottom"/>
          </w:tcPr>
          <w:p>
            <w:pPr>
              <w:spacing w:after="0"/>
              <w:rPr>
                <w:sz w:val="23"/>
                <w:szCs w:val="2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115,083</w:t>
            </w:r>
          </w:p>
        </w:tc>
        <w:tc>
          <w:tcPr>
            <w:tcW w:w="0" w:type="dxa"/>
            <w:vAlign w:val="bottom"/>
          </w:tcPr>
          <w:p>
            <w:pPr>
              <w:spacing w:after="0"/>
              <w:rPr>
                <w:sz w:val="1"/>
                <w:szCs w:val="1"/>
                <w:color w:val="auto"/>
              </w:rPr>
            </w:pPr>
          </w:p>
        </w:tc>
      </w:tr>
      <w:tr>
        <w:trPr>
          <w:trHeight w:val="540"/>
        </w:trPr>
        <w:tc>
          <w:tcPr>
            <w:tcW w:w="6200" w:type="dxa"/>
            <w:vAlign w:val="bottom"/>
          </w:tcPr>
          <w:p>
            <w:pPr>
              <w:spacing w:after="0"/>
              <w:rPr>
                <w:sz w:val="20"/>
                <w:szCs w:val="20"/>
                <w:color w:val="auto"/>
              </w:rPr>
            </w:pPr>
            <w:r>
              <w:rPr>
                <w:rFonts w:ascii="Arial" w:cs="Arial" w:eastAsia="Arial" w:hAnsi="Arial"/>
                <w:sz w:val="16"/>
                <w:szCs w:val="16"/>
                <w:color w:val="auto"/>
              </w:rPr>
              <w:t>Interest expense to affiliates</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(6,980)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6"/>
                <w:szCs w:val="16"/>
                <w:color w:val="auto"/>
              </w:rPr>
              <w:t>Interest expense to third-parties, net of capitalized interest</w:t>
            </w:r>
          </w:p>
        </w:tc>
        <w:tc>
          <w:tcPr>
            <w:tcW w:w="1320" w:type="dxa"/>
            <w:vAlign w:val="bottom"/>
          </w:tcPr>
          <w:p>
            <w:pPr>
              <w:jc w:val="right"/>
              <w:spacing w:after="0"/>
              <w:rPr>
                <w:sz w:val="20"/>
                <w:szCs w:val="20"/>
                <w:color w:val="auto"/>
              </w:rPr>
            </w:pPr>
            <w:r>
              <w:rPr>
                <w:rFonts w:ascii="Arial" w:cs="Arial" w:eastAsia="Arial" w:hAnsi="Arial"/>
                <w:sz w:val="16"/>
                <w:szCs w:val="16"/>
                <w:color w:val="auto"/>
              </w:rPr>
              <w:t>(6,022)</w:t>
            </w:r>
          </w:p>
        </w:tc>
        <w:tc>
          <w:tcPr>
            <w:tcW w:w="80" w:type="dxa"/>
            <w:vAlign w:val="bottom"/>
          </w:tcPr>
          <w:p>
            <w:pPr>
              <w:spacing w:after="0"/>
              <w:rPr>
                <w:sz w:val="23"/>
                <w:szCs w:val="23"/>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(5,335)</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(17,879)</w:t>
            </w:r>
          </w:p>
        </w:tc>
        <w:tc>
          <w:tcPr>
            <w:tcW w:w="1100" w:type="dxa"/>
            <w:vAlign w:val="bottom"/>
          </w:tcPr>
          <w:p>
            <w:pPr>
              <w:jc w:val="right"/>
              <w:spacing w:after="0"/>
              <w:rPr>
                <w:sz w:val="20"/>
                <w:szCs w:val="20"/>
                <w:color w:val="auto"/>
              </w:rPr>
            </w:pPr>
            <w:r>
              <w:rPr>
                <w:rFonts w:ascii="Arial" w:cs="Arial" w:eastAsia="Arial" w:hAnsi="Arial"/>
                <w:sz w:val="16"/>
                <w:szCs w:val="16"/>
                <w:color w:val="auto"/>
              </w:rPr>
              <w:t>(8,445)</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1320" w:type="dxa"/>
            <w:vAlign w:val="bottom"/>
          </w:tcPr>
          <w:p>
            <w:pPr>
              <w:jc w:val="right"/>
              <w:spacing w:after="0"/>
              <w:rPr>
                <w:sz w:val="20"/>
                <w:szCs w:val="20"/>
                <w:color w:val="auto"/>
              </w:rPr>
            </w:pPr>
            <w:r>
              <w:rPr>
                <w:rFonts w:ascii="Arial" w:cs="Arial" w:eastAsia="Arial" w:hAnsi="Arial"/>
                <w:sz w:val="16"/>
                <w:szCs w:val="16"/>
                <w:color w:val="auto"/>
              </w:rPr>
              <w:t>(1,474)</w:t>
            </w:r>
          </w:p>
        </w:tc>
        <w:tc>
          <w:tcPr>
            <w:tcW w:w="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(1,474)</w:t>
            </w:r>
          </w:p>
        </w:tc>
        <w:tc>
          <w:tcPr>
            <w:tcW w:w="1100" w:type="dxa"/>
            <w:vAlign w:val="bottom"/>
          </w:tcPr>
          <w:p>
            <w:pPr>
              <w:jc w:val="right"/>
              <w:spacing w:after="0"/>
              <w:rPr>
                <w:sz w:val="20"/>
                <w:szCs w:val="20"/>
                <w:color w:val="auto"/>
              </w:rPr>
            </w:pPr>
            <w:r>
              <w:rPr>
                <w:rFonts w:ascii="Arial" w:cs="Arial" w:eastAsia="Arial" w:hAnsi="Arial"/>
                <w:sz w:val="16"/>
                <w:szCs w:val="16"/>
                <w:color w:val="auto"/>
              </w:rPr>
              <w:t>(3,455)</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6"/>
                <w:szCs w:val="16"/>
                <w:color w:val="auto"/>
              </w:rPr>
              <w:t>Interest income</w:t>
            </w:r>
          </w:p>
        </w:tc>
        <w:tc>
          <w:tcPr>
            <w:tcW w:w="1320" w:type="dxa"/>
            <w:vAlign w:val="bottom"/>
          </w:tcPr>
          <w:p>
            <w:pPr>
              <w:jc w:val="right"/>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1,048</w:t>
            </w:r>
          </w:p>
        </w:tc>
        <w:tc>
          <w:tcPr>
            <w:tcW w:w="8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1,969</w:t>
            </w:r>
          </w:p>
        </w:tc>
        <w:tc>
          <w:tcPr>
            <w:tcW w:w="1100" w:type="dxa"/>
            <w:vAlign w:val="bottom"/>
          </w:tcPr>
          <w:p>
            <w:pPr>
              <w:jc w:val="right"/>
              <w:spacing w:after="0"/>
              <w:rPr>
                <w:sz w:val="20"/>
                <w:szCs w:val="20"/>
                <w:color w:val="auto"/>
              </w:rPr>
            </w:pPr>
            <w:r>
              <w:rPr>
                <w:rFonts w:ascii="Arial" w:cs="Arial" w:eastAsia="Arial" w:hAnsi="Arial"/>
                <w:sz w:val="16"/>
                <w:szCs w:val="16"/>
                <w:color w:val="auto"/>
              </w:rPr>
              <w:t>2,841</w:t>
            </w:r>
          </w:p>
        </w:tc>
        <w:tc>
          <w:tcPr>
            <w:tcW w:w="0" w:type="dxa"/>
            <w:vAlign w:val="bottom"/>
          </w:tcPr>
          <w:p>
            <w:pPr>
              <w:spacing w:after="0"/>
              <w:rPr>
                <w:sz w:val="1"/>
                <w:szCs w:val="1"/>
                <w:color w:val="auto"/>
              </w:rPr>
            </w:pPr>
          </w:p>
        </w:tc>
      </w:tr>
      <w:tr>
        <w:trPr>
          <w:trHeight w:val="263"/>
        </w:trPr>
        <w:tc>
          <w:tcPr>
            <w:tcW w:w="6200" w:type="dxa"/>
            <w:vAlign w:val="bottom"/>
          </w:tcPr>
          <w:p>
            <w:pPr>
              <w:spacing w:after="0"/>
              <w:rPr>
                <w:sz w:val="20"/>
                <w:szCs w:val="20"/>
                <w:color w:val="auto"/>
              </w:rPr>
            </w:pPr>
            <w:r>
              <w:rPr>
                <w:rFonts w:ascii="Arial" w:cs="Arial" w:eastAsia="Arial" w:hAnsi="Arial"/>
                <w:sz w:val="16"/>
                <w:szCs w:val="16"/>
                <w:color w:val="auto"/>
              </w:rPr>
              <w:t>Other income</w:t>
            </w:r>
          </w:p>
        </w:tc>
        <w:tc>
          <w:tcPr>
            <w:tcW w:w="1320" w:type="dxa"/>
            <w:vAlign w:val="bottom"/>
          </w:tcPr>
          <w:p>
            <w:pPr>
              <w:jc w:val="right"/>
              <w:spacing w:after="0"/>
              <w:rPr>
                <w:sz w:val="20"/>
                <w:szCs w:val="20"/>
                <w:color w:val="auto"/>
              </w:rPr>
            </w:pPr>
            <w:r>
              <w:rPr>
                <w:rFonts w:ascii="Arial" w:cs="Arial" w:eastAsia="Arial" w:hAnsi="Arial"/>
                <w:sz w:val="16"/>
                <w:szCs w:val="16"/>
                <w:color w:val="auto"/>
              </w:rPr>
              <w:t>261</w:t>
            </w:r>
          </w:p>
        </w:tc>
        <w:tc>
          <w:tcPr>
            <w:tcW w:w="80" w:type="dxa"/>
            <w:vAlign w:val="bottom"/>
          </w:tcPr>
          <w:p>
            <w:pPr>
              <w:spacing w:after="0"/>
              <w:rPr>
                <w:sz w:val="22"/>
                <w:szCs w:val="2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64</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1,825</w:t>
            </w:r>
          </w:p>
        </w:tc>
        <w:tc>
          <w:tcPr>
            <w:tcW w:w="1100" w:type="dxa"/>
            <w:vAlign w:val="bottom"/>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71"/>
        </w:trPr>
        <w:tc>
          <w:tcPr>
            <w:tcW w:w="6200" w:type="dxa"/>
            <w:vAlign w:val="bottom"/>
          </w:tcPr>
          <w:p>
            <w:pPr>
              <w:ind w:left="140"/>
              <w:spacing w:after="0"/>
              <w:rPr>
                <w:sz w:val="20"/>
                <w:szCs w:val="20"/>
                <w:color w:val="auto"/>
              </w:rPr>
            </w:pPr>
            <w:r>
              <w:rPr>
                <w:rFonts w:ascii="Arial" w:cs="Arial" w:eastAsia="Arial" w:hAnsi="Arial"/>
                <w:sz w:val="16"/>
                <w:szCs w:val="16"/>
                <w:color w:val="auto"/>
              </w:rPr>
              <w:t>Income (loss) before income taxes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(129,915)</w:t>
            </w:r>
          </w:p>
        </w:tc>
        <w:tc>
          <w:tcPr>
            <w:tcW w:w="80" w:type="dxa"/>
            <w:vAlign w:val="bottom"/>
          </w:tcPr>
          <w:p>
            <w:pPr>
              <w:spacing w:after="0"/>
              <w:rPr>
                <w:sz w:val="23"/>
                <w:szCs w:val="2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41,774</w:t>
            </w:r>
          </w:p>
        </w:tc>
        <w:tc>
          <w:tcPr>
            <w:tcW w:w="80" w:type="dxa"/>
            <w:vAlign w:val="bottom"/>
          </w:tcPr>
          <w:p>
            <w:pPr>
              <w:spacing w:after="0"/>
              <w:rPr>
                <w:sz w:val="23"/>
                <w:szCs w:val="23"/>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(147,660)</w:t>
            </w:r>
          </w:p>
        </w:tc>
        <w:tc>
          <w:tcPr>
            <w:tcW w:w="80" w:type="dxa"/>
            <w:vAlign w:val="bottom"/>
          </w:tcPr>
          <w:p>
            <w:pPr>
              <w:spacing w:after="0"/>
              <w:rPr>
                <w:sz w:val="23"/>
                <w:szCs w:val="2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100,055</w:t>
            </w:r>
          </w:p>
        </w:tc>
        <w:tc>
          <w:tcPr>
            <w:tcW w:w="0" w:type="dxa"/>
            <w:vAlign w:val="bottom"/>
          </w:tcPr>
          <w:p>
            <w:pPr>
              <w:spacing w:after="0"/>
              <w:rPr>
                <w:sz w:val="1"/>
                <w:szCs w:val="1"/>
                <w:color w:val="auto"/>
              </w:rPr>
            </w:pPr>
          </w:p>
        </w:tc>
      </w:tr>
      <w:tr>
        <w:trPr>
          <w:trHeight w:val="263"/>
        </w:trPr>
        <w:tc>
          <w:tcPr>
            <w:tcW w:w="6200" w:type="dxa"/>
            <w:vAlign w:val="bottom"/>
          </w:tcPr>
          <w:p>
            <w:pPr>
              <w:spacing w:after="0"/>
              <w:rPr>
                <w:sz w:val="20"/>
                <w:szCs w:val="20"/>
                <w:color w:val="auto"/>
              </w:rPr>
            </w:pPr>
            <w:r>
              <w:rPr>
                <w:rFonts w:ascii="Arial" w:cs="Arial" w:eastAsia="Arial" w:hAnsi="Arial"/>
                <w:sz w:val="16"/>
                <w:szCs w:val="16"/>
                <w:color w:val="auto"/>
              </w:rPr>
              <w:t>Income tax benefit (provision)</w:t>
            </w:r>
          </w:p>
        </w:tc>
        <w:tc>
          <w:tcPr>
            <w:tcW w:w="1320" w:type="dxa"/>
            <w:vAlign w:val="bottom"/>
          </w:tcPr>
          <w:p>
            <w:pPr>
              <w:jc w:val="right"/>
              <w:spacing w:after="0"/>
              <w:rPr>
                <w:sz w:val="20"/>
                <w:szCs w:val="20"/>
                <w:color w:val="auto"/>
              </w:rPr>
            </w:pPr>
            <w:r>
              <w:rPr>
                <w:rFonts w:ascii="Arial" w:cs="Arial" w:eastAsia="Arial" w:hAnsi="Arial"/>
                <w:sz w:val="16"/>
                <w:szCs w:val="16"/>
                <w:color w:val="auto"/>
              </w:rPr>
              <w:t>22,745</w:t>
            </w:r>
          </w:p>
        </w:tc>
        <w:tc>
          <w:tcPr>
            <w:tcW w:w="80" w:type="dxa"/>
            <w:vAlign w:val="bottom"/>
          </w:tcPr>
          <w:p>
            <w:pPr>
              <w:spacing w:after="0"/>
              <w:rPr>
                <w:sz w:val="22"/>
                <w:szCs w:val="2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(9,011)</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27,451</w:t>
            </w:r>
          </w:p>
        </w:tc>
        <w:tc>
          <w:tcPr>
            <w:tcW w:w="1100" w:type="dxa"/>
            <w:vAlign w:val="bottom"/>
          </w:tcPr>
          <w:p>
            <w:pPr>
              <w:jc w:val="right"/>
              <w:spacing w:after="0"/>
              <w:rPr>
                <w:sz w:val="20"/>
                <w:szCs w:val="20"/>
                <w:color w:val="auto"/>
              </w:rPr>
            </w:pPr>
            <w:r>
              <w:rPr>
                <w:rFonts w:ascii="Arial" w:cs="Arial" w:eastAsia="Arial" w:hAnsi="Arial"/>
                <w:sz w:val="16"/>
                <w:szCs w:val="16"/>
                <w:color w:val="auto"/>
              </w:rPr>
              <w:t>(16,411)</w:t>
            </w:r>
          </w:p>
        </w:tc>
        <w:tc>
          <w:tcPr>
            <w:tcW w:w="0" w:type="dxa"/>
            <w:vAlign w:val="bottom"/>
          </w:tcPr>
          <w:p>
            <w:pPr>
              <w:spacing w:after="0"/>
              <w:rPr>
                <w:sz w:val="1"/>
                <w:szCs w:val="1"/>
                <w:color w:val="auto"/>
              </w:rPr>
            </w:pPr>
          </w:p>
        </w:tc>
      </w:tr>
      <w:tr>
        <w:trPr>
          <w:trHeight w:val="271"/>
        </w:trPr>
        <w:tc>
          <w:tcPr>
            <w:tcW w:w="6200" w:type="dxa"/>
            <w:vAlign w:val="bottom"/>
          </w:tcPr>
          <w:p>
            <w:pPr>
              <w:spacing w:after="0"/>
              <w:rPr>
                <w:sz w:val="20"/>
                <w:szCs w:val="20"/>
                <w:color w:val="auto"/>
              </w:rPr>
            </w:pPr>
            <w:r>
              <w:rPr>
                <w:rFonts w:ascii="Arial" w:cs="Arial" w:eastAsia="Arial" w:hAnsi="Arial"/>
                <w:sz w:val="16"/>
                <w:szCs w:val="16"/>
                <w:color w:val="auto"/>
              </w:rPr>
              <w:t>Net income (loss)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(107,170)</w:t>
            </w:r>
          </w:p>
        </w:tc>
        <w:tc>
          <w:tcPr>
            <w:tcW w:w="80" w:type="dxa"/>
            <w:vAlign w:val="bottom"/>
          </w:tcPr>
          <w:p>
            <w:pPr>
              <w:spacing w:after="0"/>
              <w:rPr>
                <w:sz w:val="23"/>
                <w:szCs w:val="2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32,763</w:t>
            </w:r>
          </w:p>
        </w:tc>
        <w:tc>
          <w:tcPr>
            <w:tcW w:w="80" w:type="dxa"/>
            <w:vAlign w:val="bottom"/>
          </w:tcPr>
          <w:p>
            <w:pPr>
              <w:spacing w:after="0"/>
              <w:rPr>
                <w:sz w:val="23"/>
                <w:szCs w:val="23"/>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(120,209)</w:t>
            </w:r>
          </w:p>
        </w:tc>
        <w:tc>
          <w:tcPr>
            <w:tcW w:w="80" w:type="dxa"/>
            <w:vAlign w:val="bottom"/>
          </w:tcPr>
          <w:p>
            <w:pPr>
              <w:spacing w:after="0"/>
              <w:rPr>
                <w:sz w:val="23"/>
                <w:szCs w:val="2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83,644</w:t>
            </w:r>
          </w:p>
        </w:tc>
        <w:tc>
          <w:tcPr>
            <w:tcW w:w="0" w:type="dxa"/>
            <w:vAlign w:val="bottom"/>
          </w:tcPr>
          <w:p>
            <w:pPr>
              <w:spacing w:after="0"/>
              <w:rPr>
                <w:sz w:val="1"/>
                <w:szCs w:val="1"/>
                <w:color w:val="auto"/>
              </w:rPr>
            </w:pPr>
          </w:p>
        </w:tc>
      </w:tr>
      <w:tr>
        <w:trPr>
          <w:trHeight w:val="263"/>
        </w:trPr>
        <w:tc>
          <w:tcPr>
            <w:tcW w:w="6200" w:type="dxa"/>
            <w:vAlign w:val="bottom"/>
          </w:tcPr>
          <w:p>
            <w:pPr>
              <w:ind w:left="140"/>
              <w:spacing w:after="0"/>
              <w:rPr>
                <w:sz w:val="20"/>
                <w:szCs w:val="20"/>
                <w:color w:val="auto"/>
              </w:rPr>
            </w:pPr>
            <w:r>
              <w:rPr>
                <w:rFonts w:ascii="Arial" w:cs="Arial" w:eastAsia="Arial" w:hAnsi="Arial"/>
                <w:sz w:val="16"/>
                <w:szCs w:val="16"/>
                <w:color w:val="auto"/>
              </w:rPr>
              <w:t>Less: Net income attributable to noncontrolling interest</w:t>
            </w:r>
          </w:p>
        </w:tc>
        <w:tc>
          <w:tcPr>
            <w:tcW w:w="1320" w:type="dxa"/>
            <w:vAlign w:val="bottom"/>
          </w:tcPr>
          <w:p>
            <w:pPr>
              <w:jc w:val="right"/>
              <w:spacing w:after="0"/>
              <w:rPr>
                <w:sz w:val="20"/>
                <w:szCs w:val="20"/>
                <w:color w:val="auto"/>
              </w:rPr>
            </w:pPr>
            <w:r>
              <w:rPr>
                <w:rFonts w:ascii="Arial" w:cs="Arial" w:eastAsia="Arial" w:hAnsi="Arial"/>
                <w:sz w:val="16"/>
                <w:szCs w:val="16"/>
                <w:color w:val="auto"/>
              </w:rPr>
              <w:t>515</w:t>
            </w:r>
          </w:p>
        </w:tc>
        <w:tc>
          <w:tcPr>
            <w:tcW w:w="80" w:type="dxa"/>
            <w:vAlign w:val="bottom"/>
          </w:tcPr>
          <w:p>
            <w:pPr>
              <w:spacing w:after="0"/>
              <w:rPr>
                <w:sz w:val="22"/>
                <w:szCs w:val="2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360</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953</w:t>
            </w:r>
          </w:p>
        </w:tc>
        <w:tc>
          <w:tcPr>
            <w:tcW w:w="1100" w:type="dxa"/>
            <w:vAlign w:val="bottom"/>
          </w:tcPr>
          <w:p>
            <w:pPr>
              <w:jc w:val="right"/>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0" w:type="dxa"/>
            <w:vAlign w:val="bottom"/>
          </w:tcPr>
          <w:p>
            <w:pPr>
              <w:spacing w:after="0"/>
              <w:rPr>
                <w:sz w:val="20"/>
                <w:szCs w:val="20"/>
                <w:color w:val="auto"/>
              </w:rPr>
            </w:pPr>
            <w:r>
              <w:rPr>
                <w:rFonts w:ascii="Arial" w:cs="Arial" w:eastAsia="Arial" w:hAnsi="Arial"/>
                <w:sz w:val="16"/>
                <w:szCs w:val="16"/>
                <w:color w:val="auto"/>
              </w:rPr>
              <w:t>Net income (loss) attributable to Civeo Corporation</w:t>
            </w:r>
          </w:p>
        </w:tc>
        <w:tc>
          <w:tcPr>
            <w:tcW w:w="1320" w:type="dxa"/>
            <w:vAlign w:val="bottom"/>
          </w:tcPr>
          <w:p>
            <w:pPr>
              <w:jc w:val="right"/>
              <w:spacing w:after="0"/>
              <w:rPr>
                <w:sz w:val="20"/>
                <w:szCs w:val="20"/>
                <w:color w:val="auto"/>
              </w:rPr>
            </w:pPr>
            <w:r>
              <w:rPr>
                <w:rFonts w:ascii="Arial" w:cs="Arial" w:eastAsia="Arial" w:hAnsi="Arial"/>
                <w:sz w:val="16"/>
                <w:szCs w:val="16"/>
                <w:color w:val="auto"/>
              </w:rPr>
              <w:t>$ (107,685)</w:t>
            </w:r>
          </w:p>
        </w:tc>
        <w:tc>
          <w:tcPr>
            <w:tcW w:w="80" w:type="dxa"/>
            <w:vAlign w:val="bottom"/>
          </w:tcPr>
          <w:p>
            <w:pPr>
              <w:spacing w:after="0"/>
              <w:rPr>
                <w:sz w:val="22"/>
                <w:szCs w:val="2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$ 32,403</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 (121,162)</w:t>
            </w:r>
          </w:p>
        </w:tc>
        <w:tc>
          <w:tcPr>
            <w:tcW w:w="1100" w:type="dxa"/>
            <w:vAlign w:val="bottom"/>
          </w:tcPr>
          <w:p>
            <w:pPr>
              <w:jc w:val="right"/>
              <w:spacing w:after="0"/>
              <w:rPr>
                <w:sz w:val="20"/>
                <w:szCs w:val="20"/>
                <w:color w:val="auto"/>
              </w:rPr>
            </w:pPr>
            <w:r>
              <w:rPr>
                <w:rFonts w:ascii="Arial" w:cs="Arial" w:eastAsia="Arial" w:hAnsi="Arial"/>
                <w:sz w:val="16"/>
                <w:szCs w:val="16"/>
                <w:color w:val="auto"/>
              </w:rPr>
              <w:t>$ 82,591</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6"/>
                <w:szCs w:val="16"/>
                <w:color w:val="auto"/>
              </w:rPr>
              <w:t>Net income (loss) per share attributable to Civeo Corporation common stockholders:</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2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Arial" w:cs="Arial" w:eastAsia="Arial" w:hAnsi="Arial"/>
                <w:sz w:val="16"/>
                <w:szCs w:val="16"/>
                <w:color w:val="auto"/>
              </w:rPr>
              <w:t>Basic</w:t>
            </w:r>
          </w:p>
        </w:tc>
        <w:tc>
          <w:tcPr>
            <w:tcW w:w="1320" w:type="dxa"/>
            <w:vAlign w:val="bottom"/>
          </w:tcPr>
          <w:p>
            <w:pPr>
              <w:jc w:val="right"/>
              <w:spacing w:after="0"/>
              <w:rPr>
                <w:sz w:val="20"/>
                <w:szCs w:val="20"/>
                <w:color w:val="auto"/>
              </w:rPr>
            </w:pPr>
            <w:r>
              <w:rPr>
                <w:rFonts w:ascii="Arial" w:cs="Arial" w:eastAsia="Arial" w:hAnsi="Arial"/>
                <w:sz w:val="16"/>
                <w:szCs w:val="16"/>
                <w:color w:val="auto"/>
              </w:rPr>
              <w:t>$ (1.01)</w:t>
            </w:r>
          </w:p>
        </w:tc>
        <w:tc>
          <w:tcPr>
            <w:tcW w:w="80" w:type="dxa"/>
            <w:vAlign w:val="bottom"/>
          </w:tcPr>
          <w:p>
            <w:pPr>
              <w:spacing w:after="0"/>
              <w:rPr>
                <w:sz w:val="23"/>
                <w:szCs w:val="23"/>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$ 0.30</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 (1.14)</w:t>
            </w:r>
          </w:p>
        </w:tc>
        <w:tc>
          <w:tcPr>
            <w:tcW w:w="1100" w:type="dxa"/>
            <w:vAlign w:val="bottom"/>
          </w:tcPr>
          <w:p>
            <w:pPr>
              <w:jc w:val="right"/>
              <w:spacing w:after="0"/>
              <w:rPr>
                <w:sz w:val="20"/>
                <w:szCs w:val="20"/>
                <w:color w:val="auto"/>
              </w:rPr>
            </w:pPr>
            <w:r>
              <w:rPr>
                <w:rFonts w:ascii="Arial" w:cs="Arial" w:eastAsia="Arial" w:hAnsi="Arial"/>
                <w:sz w:val="16"/>
                <w:szCs w:val="16"/>
                <w:color w:val="auto"/>
              </w:rPr>
              <w:t>$ 0.77</w:t>
            </w: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Arial" w:cs="Arial" w:eastAsia="Arial" w:hAnsi="Arial"/>
                <w:sz w:val="16"/>
                <w:szCs w:val="16"/>
                <w:color w:val="auto"/>
              </w:rPr>
              <w:t>Diluted</w:t>
            </w:r>
          </w:p>
        </w:tc>
        <w:tc>
          <w:tcPr>
            <w:tcW w:w="1320" w:type="dxa"/>
            <w:vAlign w:val="bottom"/>
          </w:tcPr>
          <w:p>
            <w:pPr>
              <w:jc w:val="right"/>
              <w:spacing w:after="0"/>
              <w:rPr>
                <w:sz w:val="20"/>
                <w:szCs w:val="20"/>
                <w:color w:val="auto"/>
              </w:rPr>
            </w:pPr>
            <w:r>
              <w:rPr>
                <w:rFonts w:ascii="Arial" w:cs="Arial" w:eastAsia="Arial" w:hAnsi="Arial"/>
                <w:sz w:val="16"/>
                <w:szCs w:val="16"/>
                <w:color w:val="auto"/>
              </w:rPr>
              <w:t>$ (1.01)</w:t>
            </w:r>
          </w:p>
        </w:tc>
        <w:tc>
          <w:tcPr>
            <w:tcW w:w="80" w:type="dxa"/>
            <w:vAlign w:val="bottom"/>
          </w:tcPr>
          <w:p>
            <w:pPr>
              <w:spacing w:after="0"/>
              <w:rPr>
                <w:sz w:val="23"/>
                <w:szCs w:val="23"/>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$ 0.30</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 (1.14)</w:t>
            </w:r>
          </w:p>
        </w:tc>
        <w:tc>
          <w:tcPr>
            <w:tcW w:w="1100" w:type="dxa"/>
            <w:vAlign w:val="bottom"/>
          </w:tcPr>
          <w:p>
            <w:pPr>
              <w:jc w:val="right"/>
              <w:spacing w:after="0"/>
              <w:rPr>
                <w:sz w:val="20"/>
                <w:szCs w:val="20"/>
                <w:color w:val="auto"/>
              </w:rPr>
            </w:pPr>
            <w:r>
              <w:rPr>
                <w:rFonts w:ascii="Arial" w:cs="Arial" w:eastAsia="Arial" w:hAnsi="Arial"/>
                <w:sz w:val="16"/>
                <w:szCs w:val="16"/>
                <w:color w:val="auto"/>
              </w:rPr>
              <w:t>$ 0.77</w:t>
            </w:r>
          </w:p>
        </w:tc>
        <w:tc>
          <w:tcPr>
            <w:tcW w:w="0" w:type="dxa"/>
            <w:vAlign w:val="bottom"/>
          </w:tcPr>
          <w:p>
            <w:pPr>
              <w:spacing w:after="0"/>
              <w:rPr>
                <w:sz w:val="1"/>
                <w:szCs w:val="1"/>
                <w:color w:val="auto"/>
              </w:rPr>
            </w:pPr>
          </w:p>
        </w:tc>
      </w:tr>
      <w:tr>
        <w:trPr>
          <w:trHeight w:val="540"/>
        </w:trPr>
        <w:tc>
          <w:tcPr>
            <w:tcW w:w="6200" w:type="dxa"/>
            <w:vAlign w:val="bottom"/>
          </w:tcPr>
          <w:p>
            <w:pPr>
              <w:spacing w:after="0"/>
              <w:rPr>
                <w:sz w:val="20"/>
                <w:szCs w:val="20"/>
                <w:color w:val="auto"/>
              </w:rPr>
            </w:pPr>
            <w:r>
              <w:rPr>
                <w:rFonts w:ascii="Arial" w:cs="Arial" w:eastAsia="Arial" w:hAnsi="Arial"/>
                <w:sz w:val="16"/>
                <w:szCs w:val="16"/>
                <w:color w:val="auto"/>
              </w:rPr>
              <w:t>Weighted average number of common shares outstanding (1):</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Arial" w:cs="Arial" w:eastAsia="Arial" w:hAnsi="Arial"/>
                <w:sz w:val="16"/>
                <w:szCs w:val="16"/>
                <w:color w:val="auto"/>
              </w:rPr>
              <w:t>Basic</w:t>
            </w:r>
          </w:p>
        </w:tc>
        <w:tc>
          <w:tcPr>
            <w:tcW w:w="1320" w:type="dxa"/>
            <w:vAlign w:val="bottom"/>
          </w:tcPr>
          <w:p>
            <w:pPr>
              <w:jc w:val="right"/>
              <w:spacing w:after="0"/>
              <w:rPr>
                <w:sz w:val="20"/>
                <w:szCs w:val="20"/>
                <w:color w:val="auto"/>
              </w:rPr>
            </w:pPr>
            <w:r>
              <w:rPr>
                <w:rFonts w:ascii="Arial" w:cs="Arial" w:eastAsia="Arial" w:hAnsi="Arial"/>
                <w:sz w:val="16"/>
                <w:szCs w:val="16"/>
                <w:color w:val="auto"/>
              </w:rPr>
              <w:t>106,661</w:t>
            </w:r>
          </w:p>
        </w:tc>
        <w:tc>
          <w:tcPr>
            <w:tcW w:w="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106,311</w:t>
            </w:r>
          </w:p>
        </w:tc>
        <w:tc>
          <w:tcPr>
            <w:tcW w:w="8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106,583</w:t>
            </w:r>
          </w:p>
        </w:tc>
        <w:tc>
          <w:tcPr>
            <w:tcW w:w="1100" w:type="dxa"/>
            <w:vAlign w:val="bottom"/>
          </w:tcPr>
          <w:p>
            <w:pPr>
              <w:jc w:val="right"/>
              <w:spacing w:after="0"/>
              <w:rPr>
                <w:sz w:val="20"/>
                <w:szCs w:val="20"/>
                <w:color w:val="auto"/>
              </w:rPr>
            </w:pPr>
            <w:r>
              <w:rPr>
                <w:rFonts w:ascii="Arial" w:cs="Arial" w:eastAsia="Arial" w:hAnsi="Arial"/>
                <w:sz w:val="16"/>
                <w:szCs w:val="16"/>
                <w:color w:val="auto"/>
              </w:rPr>
              <w:t>106,300</w:t>
            </w: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Arial" w:cs="Arial" w:eastAsia="Arial" w:hAnsi="Arial"/>
                <w:sz w:val="16"/>
                <w:szCs w:val="16"/>
                <w:color w:val="auto"/>
              </w:rPr>
              <w:t>Diluted</w:t>
            </w:r>
          </w:p>
        </w:tc>
        <w:tc>
          <w:tcPr>
            <w:tcW w:w="1320" w:type="dxa"/>
            <w:vAlign w:val="bottom"/>
          </w:tcPr>
          <w:p>
            <w:pPr>
              <w:jc w:val="right"/>
              <w:spacing w:after="0"/>
              <w:rPr>
                <w:sz w:val="20"/>
                <w:szCs w:val="20"/>
                <w:color w:val="auto"/>
              </w:rPr>
            </w:pPr>
            <w:r>
              <w:rPr>
                <w:rFonts w:ascii="Arial" w:cs="Arial" w:eastAsia="Arial" w:hAnsi="Arial"/>
                <w:sz w:val="16"/>
                <w:szCs w:val="16"/>
                <w:color w:val="auto"/>
              </w:rPr>
              <w:t>106,661</w:t>
            </w:r>
          </w:p>
        </w:tc>
        <w:tc>
          <w:tcPr>
            <w:tcW w:w="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106,495</w:t>
            </w:r>
          </w:p>
        </w:tc>
        <w:tc>
          <w:tcPr>
            <w:tcW w:w="8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106,583</w:t>
            </w:r>
          </w:p>
        </w:tc>
        <w:tc>
          <w:tcPr>
            <w:tcW w:w="1100" w:type="dxa"/>
            <w:vAlign w:val="bottom"/>
          </w:tcPr>
          <w:p>
            <w:pPr>
              <w:jc w:val="right"/>
              <w:spacing w:after="0"/>
              <w:rPr>
                <w:sz w:val="20"/>
                <w:szCs w:val="20"/>
                <w:color w:val="auto"/>
              </w:rPr>
            </w:pPr>
            <w:r>
              <w:rPr>
                <w:rFonts w:ascii="Arial" w:cs="Arial" w:eastAsia="Arial" w:hAnsi="Arial"/>
                <w:sz w:val="16"/>
                <w:szCs w:val="16"/>
                <w:color w:val="auto"/>
              </w:rPr>
              <w:t>106,474</w:t>
            </w:r>
          </w:p>
        </w:tc>
        <w:tc>
          <w:tcPr>
            <w:tcW w:w="0" w:type="dxa"/>
            <w:vAlign w:val="bottom"/>
          </w:tcPr>
          <w:p>
            <w:pPr>
              <w:spacing w:after="0"/>
              <w:rPr>
                <w:sz w:val="1"/>
                <w:szCs w:val="1"/>
                <w:color w:val="auto"/>
              </w:rPr>
            </w:pPr>
          </w:p>
        </w:tc>
      </w:tr>
      <w:tr>
        <w:trPr>
          <w:trHeight w:val="540"/>
        </w:trPr>
        <w:tc>
          <w:tcPr>
            <w:tcW w:w="6200" w:type="dxa"/>
            <w:vAlign w:val="bottom"/>
          </w:tcPr>
          <w:p>
            <w:pPr>
              <w:spacing w:after="0"/>
              <w:rPr>
                <w:sz w:val="20"/>
                <w:szCs w:val="20"/>
                <w:color w:val="auto"/>
              </w:rPr>
            </w:pPr>
            <w:r>
              <w:rPr>
                <w:rFonts w:ascii="Arial" w:cs="Arial" w:eastAsia="Arial" w:hAnsi="Arial"/>
                <w:sz w:val="16"/>
                <w:szCs w:val="16"/>
                <w:color w:val="auto"/>
              </w:rPr>
              <w:t>Dividends per common share</w:t>
            </w:r>
          </w:p>
        </w:tc>
        <w:tc>
          <w:tcPr>
            <w:tcW w:w="1320" w:type="dxa"/>
            <w:vAlign w:val="bottom"/>
          </w:tcPr>
          <w:p>
            <w:pPr>
              <w:jc w:val="right"/>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$ 0.13</w:t>
            </w:r>
          </w:p>
        </w:tc>
        <w:tc>
          <w:tcPr>
            <w:tcW w:w="1220" w:type="dxa"/>
            <w:vAlign w:val="bottom"/>
          </w:tcPr>
          <w:p>
            <w:pPr>
              <w:jc w:val="right"/>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$ 0.13</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80" w:right="80" w:firstLine="9"/>
        <w:spacing w:after="0" w:line="251" w:lineRule="auto"/>
        <w:tabs>
          <w:tab w:leader="none" w:pos="323"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May 30, 2014, 106,538 thousand shares of our common stock were distributed to Oil States stockholders in connection with the Spin-Off. For comparative purposes, and to provide a more meaningful calculation of weighted-average shares outstanding, we have assumed this amount to be outstanding as of the beginning of each period prior to the separation presented in the calculation of weighted-average shares. In addition, we have assumed the dilutive securities outstanding at May 30, 2014 were also outstanding for each of the periods prior to the Spin-Off presented.</w:t>
      </w:r>
    </w:p>
    <w:p>
      <w:pPr>
        <w:sectPr>
          <w:pgSz w:w="11900" w:h="16838" w:orient="portrait"/>
          <w:cols w:equalWidth="0" w:num="1">
            <w:col w:w="11420"/>
          </w:cols>
          <w:pgMar w:left="240" w:top="118" w:right="239" w:bottom="0" w:gutter="0" w:footer="0" w:header="0"/>
        </w:sectPr>
      </w:pPr>
    </w:p>
    <w:p>
      <w:pPr>
        <w:spacing w:after="0" w:line="399"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UNAUDITED CIVEO CORPORATION</w:t>
      </w:r>
    </w:p>
    <w:p>
      <w:pPr>
        <w:sectPr>
          <w:pgSz w:w="11900" w:h="16838" w:orient="portrait"/>
          <w:cols w:equalWidth="0" w:num="1">
            <w:col w:w="11420"/>
          </w:cols>
          <w:pgMar w:left="240" w:top="118" w:right="239" w:bottom="0" w:gutter="0" w:footer="0" w:header="0"/>
          <w:type w:val="continuous"/>
        </w:sectPr>
      </w:pPr>
    </w:p>
    <w:bookmarkStart w:id="5" w:name="page6"/>
    <w:bookmarkEnd w:id="5"/>
    <w:p>
      <w:pPr>
        <w:spacing w:after="0" w:line="39" w:lineRule="exact"/>
        <w:rPr>
          <w:sz w:val="20"/>
          <w:szCs w:val="20"/>
          <w:color w:val="auto"/>
        </w:rPr>
      </w:pPr>
    </w:p>
    <w:p>
      <w:pPr>
        <w:jc w:val="center"/>
        <w:ind w:right="3899"/>
        <w:spacing w:after="0"/>
        <w:rPr>
          <w:sz w:val="20"/>
          <w:szCs w:val="20"/>
          <w:color w:val="auto"/>
        </w:rPr>
      </w:pPr>
      <w:r>
        <w:rPr>
          <w:rFonts w:ascii="Arial" w:cs="Arial" w:eastAsia="Arial" w:hAnsi="Arial"/>
          <w:sz w:val="16"/>
          <w:szCs w:val="16"/>
          <w:b w:val="1"/>
          <w:bCs w:val="1"/>
          <w:color w:val="auto"/>
        </w:rPr>
        <w:t>CONSOLIDATED BALANCE SHEETS</w:t>
      </w:r>
    </w:p>
    <w:p>
      <w:pPr>
        <w:spacing w:after="0" w:line="86" w:lineRule="exact"/>
        <w:rPr>
          <w:sz w:val="20"/>
          <w:szCs w:val="20"/>
          <w:color w:val="auto"/>
        </w:rPr>
      </w:pPr>
    </w:p>
    <w:p>
      <w:pPr>
        <w:jc w:val="center"/>
        <w:ind w:right="3899"/>
        <w:spacing w:after="0"/>
        <w:rPr>
          <w:sz w:val="20"/>
          <w:szCs w:val="20"/>
          <w:color w:val="auto"/>
        </w:rPr>
      </w:pPr>
      <w:r>
        <w:rPr>
          <w:rFonts w:ascii="Arial" w:cs="Arial" w:eastAsia="Arial" w:hAnsi="Arial"/>
          <w:sz w:val="16"/>
          <w:szCs w:val="16"/>
          <w:b w:val="1"/>
          <w:bCs w:val="1"/>
          <w:color w:val="auto"/>
        </w:rPr>
        <w:t>(in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3600" w:type="dxa"/>
            <w:vAlign w:val="bottom"/>
            <w:gridSpan w:val="6"/>
          </w:tcPr>
          <w:p>
            <w:pPr>
              <w:jc w:val="right"/>
              <w:ind w:right="1040"/>
              <w:spacing w:after="0"/>
              <w:rPr>
                <w:sz w:val="20"/>
                <w:szCs w:val="20"/>
                <w:color w:val="auto"/>
              </w:rPr>
            </w:pPr>
            <w:r>
              <w:rPr>
                <w:rFonts w:ascii="Arial" w:cs="Arial" w:eastAsia="Arial" w:hAnsi="Arial"/>
                <w:sz w:val="16"/>
                <w:szCs w:val="16"/>
                <w:b w:val="1"/>
                <w:bCs w:val="1"/>
                <w:color w:val="auto"/>
              </w:rPr>
              <w:t>SEPTEMBER 30, DECEMBER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660" w:type="dxa"/>
            <w:vAlign w:val="bottom"/>
          </w:tcPr>
          <w:p>
            <w:pPr>
              <w:spacing w:after="0"/>
              <w:rPr>
                <w:sz w:val="18"/>
                <w:szCs w:val="18"/>
                <w:color w:val="auto"/>
              </w:rPr>
            </w:pPr>
          </w:p>
        </w:tc>
        <w:tc>
          <w:tcPr>
            <w:tcW w:w="12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660" w:type="dxa"/>
            <w:vAlign w:val="bottom"/>
          </w:tcPr>
          <w:p>
            <w:pPr>
              <w:spacing w:after="0"/>
              <w:rPr>
                <w:sz w:val="23"/>
                <w:szCs w:val="23"/>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(UNAUDITED)</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6"/>
                <w:szCs w:val="16"/>
                <w:color w:val="auto"/>
              </w:rPr>
              <w:t>Current assets:</w:t>
            </w: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$ 12,635</w:t>
            </w:r>
          </w:p>
        </w:tc>
        <w:tc>
          <w:tcPr>
            <w:tcW w:w="1200" w:type="dxa"/>
            <w:vAlign w:val="bottom"/>
          </w:tcPr>
          <w:p>
            <w:pPr>
              <w:jc w:val="right"/>
              <w:spacing w:after="0"/>
              <w:rPr>
                <w:sz w:val="20"/>
                <w:szCs w:val="20"/>
                <w:color w:val="auto"/>
              </w:rPr>
            </w:pPr>
            <w:r>
              <w:rPr>
                <w:rFonts w:ascii="Arial" w:cs="Arial" w:eastAsia="Arial" w:hAnsi="Arial"/>
                <w:sz w:val="16"/>
                <w:szCs w:val="16"/>
                <w:color w:val="auto"/>
              </w:rPr>
              <w:t>$ 263,314</w:t>
            </w: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1280" w:type="dxa"/>
            <w:vAlign w:val="bottom"/>
          </w:tcPr>
          <w:p>
            <w:pPr>
              <w:jc w:val="right"/>
              <w:spacing w:after="0"/>
              <w:rPr>
                <w:sz w:val="20"/>
                <w:szCs w:val="20"/>
                <w:color w:val="auto"/>
              </w:rPr>
            </w:pPr>
            <w:r>
              <w:rPr>
                <w:rFonts w:ascii="Arial" w:cs="Arial" w:eastAsia="Arial" w:hAnsi="Arial"/>
                <w:sz w:val="16"/>
                <w:szCs w:val="16"/>
                <w:color w:val="auto"/>
              </w:rPr>
              <w:t>63,681</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160,253</w:t>
            </w: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280" w:type="dxa"/>
            <w:vAlign w:val="bottom"/>
          </w:tcPr>
          <w:p>
            <w:pPr>
              <w:jc w:val="right"/>
              <w:spacing w:after="0"/>
              <w:rPr>
                <w:sz w:val="20"/>
                <w:szCs w:val="20"/>
                <w:color w:val="auto"/>
              </w:rPr>
            </w:pPr>
            <w:r>
              <w:rPr>
                <w:rFonts w:ascii="Arial" w:cs="Arial" w:eastAsia="Arial" w:hAnsi="Arial"/>
                <w:sz w:val="16"/>
                <w:szCs w:val="16"/>
                <w:color w:val="auto"/>
              </w:rPr>
              <w:t>5,607</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13,228</w:t>
            </w: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280" w:type="dxa"/>
            <w:vAlign w:val="bottom"/>
          </w:tcPr>
          <w:p>
            <w:pPr>
              <w:jc w:val="right"/>
              <w:spacing w:after="0"/>
              <w:rPr>
                <w:sz w:val="20"/>
                <w:szCs w:val="20"/>
                <w:color w:val="auto"/>
              </w:rPr>
            </w:pPr>
            <w:r>
              <w:rPr>
                <w:rFonts w:ascii="Arial" w:cs="Arial" w:eastAsia="Arial" w:hAnsi="Arial"/>
                <w:sz w:val="16"/>
                <w:szCs w:val="16"/>
                <w:color w:val="auto"/>
              </w:rPr>
              <w:t>27,604</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27,161</w:t>
            </w: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660" w:type="dxa"/>
            <w:vAlign w:val="bottom"/>
          </w:tcPr>
          <w:p>
            <w:pPr>
              <w:ind w:left="140"/>
              <w:spacing w:after="0"/>
              <w:rPr>
                <w:sz w:val="20"/>
                <w:szCs w:val="20"/>
                <w:color w:val="auto"/>
              </w:rPr>
            </w:pPr>
            <w:r>
              <w:rPr>
                <w:rFonts w:ascii="Arial" w:cs="Arial" w:eastAsia="Arial" w:hAnsi="Arial"/>
                <w:sz w:val="16"/>
                <w:szCs w:val="16"/>
                <w:color w:val="auto"/>
              </w:rPr>
              <w:t>Assets held for sale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8,923</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1280" w:type="dxa"/>
            <w:vAlign w:val="bottom"/>
          </w:tcPr>
          <w:p>
            <w:pPr>
              <w:jc w:val="right"/>
              <w:spacing w:after="0"/>
              <w:rPr>
                <w:sz w:val="20"/>
                <w:szCs w:val="20"/>
                <w:color w:val="auto"/>
              </w:rPr>
            </w:pPr>
            <w:r>
              <w:rPr>
                <w:rFonts w:ascii="Arial" w:cs="Arial" w:eastAsia="Arial" w:hAnsi="Arial"/>
                <w:sz w:val="16"/>
                <w:szCs w:val="16"/>
                <w:color w:val="auto"/>
              </w:rPr>
              <w:t>118,450</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463,956</w:t>
            </w: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366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280" w:type="dxa"/>
            <w:vAlign w:val="bottom"/>
          </w:tcPr>
          <w:p>
            <w:pPr>
              <w:jc w:val="right"/>
              <w:spacing w:after="0"/>
              <w:rPr>
                <w:sz w:val="20"/>
                <w:szCs w:val="20"/>
                <w:color w:val="auto"/>
              </w:rPr>
            </w:pPr>
            <w:r>
              <w:rPr>
                <w:rFonts w:ascii="Arial" w:cs="Arial" w:eastAsia="Arial" w:hAnsi="Arial"/>
                <w:sz w:val="16"/>
                <w:szCs w:val="16"/>
                <w:color w:val="auto"/>
              </w:rPr>
              <w:t>950,642</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1,248,430</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6"/>
                <w:szCs w:val="16"/>
                <w:color w:val="auto"/>
              </w:rPr>
              <w:t>Goodwill, net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45,260</w:t>
            </w: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280" w:type="dxa"/>
            <w:vAlign w:val="bottom"/>
          </w:tcPr>
          <w:p>
            <w:pPr>
              <w:jc w:val="right"/>
              <w:spacing w:after="0"/>
              <w:rPr>
                <w:sz w:val="20"/>
                <w:szCs w:val="20"/>
                <w:color w:val="auto"/>
              </w:rPr>
            </w:pPr>
            <w:r>
              <w:rPr>
                <w:rFonts w:ascii="Arial" w:cs="Arial" w:eastAsia="Arial" w:hAnsi="Arial"/>
                <w:sz w:val="16"/>
                <w:szCs w:val="16"/>
                <w:color w:val="auto"/>
              </w:rPr>
              <w:t>35,756</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50,882</w:t>
            </w: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12,953</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20,633</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$ 1,117,801</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$ 1,829,161</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6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$ 30,553</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$ 36,277</w:t>
            </w: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40"/>
              <w:spacing w:after="0"/>
              <w:rPr>
                <w:sz w:val="20"/>
                <w:szCs w:val="20"/>
                <w:color w:val="auto"/>
              </w:rPr>
            </w:pPr>
            <w:r>
              <w:rPr>
                <w:rFonts w:ascii="Arial" w:cs="Arial" w:eastAsia="Arial" w:hAnsi="Arial"/>
                <w:sz w:val="16"/>
                <w:szCs w:val="16"/>
                <w:color w:val="auto"/>
              </w:rPr>
              <w:t>Accrued liabilities</w:t>
            </w:r>
          </w:p>
        </w:tc>
        <w:tc>
          <w:tcPr>
            <w:tcW w:w="1280" w:type="dxa"/>
            <w:vAlign w:val="bottom"/>
          </w:tcPr>
          <w:p>
            <w:pPr>
              <w:jc w:val="right"/>
              <w:spacing w:after="0"/>
              <w:rPr>
                <w:sz w:val="20"/>
                <w:szCs w:val="20"/>
                <w:color w:val="auto"/>
              </w:rPr>
            </w:pPr>
            <w:r>
              <w:rPr>
                <w:rFonts w:ascii="Arial" w:cs="Arial" w:eastAsia="Arial" w:hAnsi="Arial"/>
                <w:sz w:val="16"/>
                <w:szCs w:val="16"/>
                <w:color w:val="auto"/>
              </w:rPr>
              <w:t>17,042</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22,512</w:t>
            </w: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40"/>
              <w:spacing w:after="0"/>
              <w:rPr>
                <w:sz w:val="20"/>
                <w:szCs w:val="20"/>
                <w:color w:val="auto"/>
              </w:rPr>
            </w:pPr>
            <w:r>
              <w:rPr>
                <w:rFonts w:ascii="Arial" w:cs="Arial" w:eastAsia="Arial" w:hAnsi="Arial"/>
                <w:sz w:val="16"/>
                <w:szCs w:val="16"/>
                <w:color w:val="auto"/>
              </w:rPr>
              <w:t>Income taxes</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61</w:t>
            </w: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40"/>
              <w:spacing w:after="0"/>
              <w:rPr>
                <w:sz w:val="20"/>
                <w:szCs w:val="20"/>
                <w:color w:val="auto"/>
              </w:rPr>
            </w:pPr>
            <w:r>
              <w:rPr>
                <w:rFonts w:ascii="Arial" w:cs="Arial" w:eastAsia="Arial" w:hAnsi="Arial"/>
                <w:sz w:val="16"/>
                <w:szCs w:val="16"/>
                <w:color w:val="auto"/>
              </w:rPr>
              <w:t>Current portion of long-term debt</w:t>
            </w:r>
          </w:p>
        </w:tc>
        <w:tc>
          <w:tcPr>
            <w:tcW w:w="1280" w:type="dxa"/>
            <w:vAlign w:val="bottom"/>
          </w:tcPr>
          <w:p>
            <w:pPr>
              <w:jc w:val="right"/>
              <w:spacing w:after="0"/>
              <w:rPr>
                <w:sz w:val="20"/>
                <w:szCs w:val="20"/>
                <w:color w:val="auto"/>
              </w:rPr>
            </w:pPr>
            <w:r>
              <w:rPr>
                <w:rFonts w:ascii="Arial" w:cs="Arial" w:eastAsia="Arial" w:hAnsi="Arial"/>
                <w:sz w:val="16"/>
                <w:szCs w:val="16"/>
                <w:color w:val="auto"/>
              </w:rPr>
              <w:t>18,205</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19,375</w:t>
            </w: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1280" w:type="dxa"/>
            <w:vAlign w:val="bottom"/>
          </w:tcPr>
          <w:p>
            <w:pPr>
              <w:jc w:val="right"/>
              <w:spacing w:after="0"/>
              <w:rPr>
                <w:sz w:val="20"/>
                <w:szCs w:val="20"/>
                <w:color w:val="auto"/>
              </w:rPr>
            </w:pPr>
            <w:r>
              <w:rPr>
                <w:rFonts w:ascii="Arial" w:cs="Arial" w:eastAsia="Arial" w:hAnsi="Arial"/>
                <w:sz w:val="16"/>
                <w:szCs w:val="16"/>
                <w:color w:val="auto"/>
              </w:rPr>
              <w:t>9,872</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18,539</w:t>
            </w: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66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8,243</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21,677</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1280" w:type="dxa"/>
            <w:vAlign w:val="bottom"/>
          </w:tcPr>
          <w:p>
            <w:pPr>
              <w:jc w:val="right"/>
              <w:spacing w:after="0"/>
              <w:rPr>
                <w:sz w:val="20"/>
                <w:szCs w:val="20"/>
                <w:color w:val="auto"/>
              </w:rPr>
            </w:pPr>
            <w:r>
              <w:rPr>
                <w:rFonts w:ascii="Arial" w:cs="Arial" w:eastAsia="Arial" w:hAnsi="Arial"/>
                <w:sz w:val="16"/>
                <w:szCs w:val="16"/>
                <w:color w:val="auto"/>
              </w:rPr>
              <w:t>83,919</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118,441</w:t>
            </w: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3660" w:type="dxa"/>
            <w:vAlign w:val="bottom"/>
          </w:tcPr>
          <w:p>
            <w:pPr>
              <w:spacing w:after="0"/>
              <w:rPr>
                <w:sz w:val="20"/>
                <w:szCs w:val="20"/>
                <w:color w:val="auto"/>
              </w:rPr>
            </w:pPr>
            <w:r>
              <w:rPr>
                <w:rFonts w:ascii="Arial" w:cs="Arial" w:eastAsia="Arial" w:hAnsi="Arial"/>
                <w:sz w:val="16"/>
                <w:szCs w:val="16"/>
                <w:color w:val="auto"/>
              </w:rPr>
              <w:t>Long-term debt to third-parties</w:t>
            </w:r>
          </w:p>
        </w:tc>
        <w:tc>
          <w:tcPr>
            <w:tcW w:w="1280" w:type="dxa"/>
            <w:vAlign w:val="bottom"/>
          </w:tcPr>
          <w:p>
            <w:pPr>
              <w:jc w:val="right"/>
              <w:spacing w:after="0"/>
              <w:rPr>
                <w:sz w:val="20"/>
                <w:szCs w:val="20"/>
                <w:color w:val="auto"/>
              </w:rPr>
            </w:pPr>
            <w:r>
              <w:rPr>
                <w:rFonts w:ascii="Arial" w:cs="Arial" w:eastAsia="Arial" w:hAnsi="Arial"/>
                <w:sz w:val="16"/>
                <w:szCs w:val="16"/>
                <w:color w:val="auto"/>
              </w:rPr>
              <w:t>397,879</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755,625</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6"/>
                <w:szCs w:val="16"/>
                <w:color w:val="auto"/>
              </w:rPr>
              <w:t>Deferred income taxes</w:t>
            </w:r>
          </w:p>
        </w:tc>
        <w:tc>
          <w:tcPr>
            <w:tcW w:w="1280" w:type="dxa"/>
            <w:vAlign w:val="bottom"/>
          </w:tcPr>
          <w:p>
            <w:pPr>
              <w:jc w:val="right"/>
              <w:spacing w:after="0"/>
              <w:rPr>
                <w:sz w:val="20"/>
                <w:szCs w:val="20"/>
                <w:color w:val="auto"/>
              </w:rPr>
            </w:pPr>
            <w:r>
              <w:rPr>
                <w:rFonts w:ascii="Arial" w:cs="Arial" w:eastAsia="Arial" w:hAnsi="Arial"/>
                <w:sz w:val="16"/>
                <w:szCs w:val="16"/>
                <w:color w:val="auto"/>
              </w:rPr>
              <w:t>32,572</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55,500</w:t>
            </w: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33,830</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39,486</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66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1280" w:type="dxa"/>
            <w:vAlign w:val="bottom"/>
          </w:tcPr>
          <w:p>
            <w:pPr>
              <w:jc w:val="right"/>
              <w:spacing w:after="0"/>
              <w:rPr>
                <w:sz w:val="20"/>
                <w:szCs w:val="20"/>
                <w:color w:val="auto"/>
              </w:rPr>
            </w:pPr>
            <w:r>
              <w:rPr>
                <w:rFonts w:ascii="Arial" w:cs="Arial" w:eastAsia="Arial" w:hAnsi="Arial"/>
                <w:sz w:val="16"/>
                <w:szCs w:val="16"/>
                <w:color w:val="auto"/>
              </w:rPr>
              <w:t>548,200</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969,052</w:t>
            </w: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3660" w:type="dxa"/>
            <w:vAlign w:val="bottom"/>
          </w:tcPr>
          <w:p>
            <w:pPr>
              <w:spacing w:after="0"/>
              <w:rPr>
                <w:sz w:val="20"/>
                <w:szCs w:val="20"/>
                <w:color w:val="auto"/>
              </w:rPr>
            </w:pPr>
            <w:r>
              <w:rPr>
                <w:rFonts w:ascii="Arial" w:cs="Arial" w:eastAsia="Arial" w:hAnsi="Arial"/>
                <w:sz w:val="16"/>
                <w:szCs w:val="16"/>
                <w:color w:val="auto"/>
              </w:rPr>
              <w:t>Shareholders' equity:</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1,067</w:t>
            </w: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1280" w:type="dxa"/>
            <w:vAlign w:val="bottom"/>
          </w:tcPr>
          <w:p>
            <w:pPr>
              <w:jc w:val="right"/>
              <w:spacing w:after="0"/>
              <w:rPr>
                <w:sz w:val="20"/>
                <w:szCs w:val="20"/>
                <w:color w:val="auto"/>
              </w:rPr>
            </w:pPr>
            <w:r>
              <w:rPr>
                <w:rFonts w:ascii="Arial" w:cs="Arial" w:eastAsia="Arial" w:hAnsi="Arial"/>
                <w:sz w:val="16"/>
                <w:szCs w:val="16"/>
                <w:color w:val="auto"/>
              </w:rPr>
              <w:t>1,304,928</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1,300,042</w:t>
            </w: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1280" w:type="dxa"/>
            <w:vAlign w:val="bottom"/>
          </w:tcPr>
          <w:p>
            <w:pPr>
              <w:jc w:val="right"/>
              <w:spacing w:after="0"/>
              <w:rPr>
                <w:sz w:val="20"/>
                <w:szCs w:val="20"/>
                <w:color w:val="auto"/>
              </w:rPr>
            </w:pPr>
            <w:r>
              <w:rPr>
                <w:rFonts w:ascii="Arial" w:cs="Arial" w:eastAsia="Arial" w:hAnsi="Arial"/>
                <w:sz w:val="16"/>
                <w:szCs w:val="16"/>
                <w:color w:val="auto"/>
              </w:rPr>
              <w:t>(365,779)</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(244,617)</w:t>
            </w: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66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(369,952)</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(198,491)</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660" w:type="dxa"/>
            <w:vAlign w:val="bottom"/>
          </w:tcPr>
          <w:p>
            <w:pPr>
              <w:ind w:left="420"/>
              <w:spacing w:after="0"/>
              <w:rPr>
                <w:sz w:val="20"/>
                <w:szCs w:val="20"/>
                <w:color w:val="auto"/>
              </w:rPr>
            </w:pPr>
            <w:r>
              <w:rPr>
                <w:rFonts w:ascii="Arial" w:cs="Arial" w:eastAsia="Arial" w:hAnsi="Arial"/>
                <w:sz w:val="16"/>
                <w:szCs w:val="16"/>
                <w:color w:val="auto"/>
              </w:rPr>
              <w:t>Total Civeo Corporation stockholders' equity</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569,197</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858,001</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404</w:t>
            </w:r>
          </w:p>
        </w:tc>
        <w:tc>
          <w:tcPr>
            <w:tcW w:w="1200" w:type="dxa"/>
            <w:vAlign w:val="bottom"/>
          </w:tcPr>
          <w:p>
            <w:pPr>
              <w:jc w:val="right"/>
              <w:spacing w:after="0"/>
              <w:rPr>
                <w:sz w:val="20"/>
                <w:szCs w:val="20"/>
                <w:color w:val="auto"/>
              </w:rPr>
            </w:pPr>
            <w:r>
              <w:rPr>
                <w:rFonts w:ascii="Arial" w:cs="Arial" w:eastAsia="Arial" w:hAnsi="Arial"/>
                <w:sz w:val="16"/>
                <w:szCs w:val="16"/>
                <w:color w:val="auto"/>
              </w:rPr>
              <w:t>2,108</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660" w:type="dxa"/>
            <w:vAlign w:val="bottom"/>
          </w:tcPr>
          <w:p>
            <w:pPr>
              <w:ind w:left="140"/>
              <w:spacing w:after="0"/>
              <w:rPr>
                <w:sz w:val="20"/>
                <w:szCs w:val="20"/>
                <w:color w:val="auto"/>
              </w:rPr>
            </w:pPr>
            <w:r>
              <w:rPr>
                <w:rFonts w:ascii="Arial" w:cs="Arial" w:eastAsia="Arial" w:hAnsi="Arial"/>
                <w:sz w:val="16"/>
                <w:szCs w:val="16"/>
                <w:color w:val="auto"/>
              </w:rPr>
              <w:t>Total shareholders' equity</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569,601</w:t>
            </w:r>
          </w:p>
        </w:tc>
        <w:tc>
          <w:tcPr>
            <w:tcW w:w="8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860,109</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6"/>
                <w:szCs w:val="16"/>
                <w:color w:val="auto"/>
              </w:rPr>
              <w:t>Total liabilities and shareholders' equity</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$ 1,117,801</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$ 1,829,161</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5020" w:type="dxa"/>
            <w:vAlign w:val="bottom"/>
            <w:gridSpan w:val="3"/>
          </w:tcPr>
          <w:p>
            <w:pPr>
              <w:jc w:val="center"/>
              <w:ind w:left="2959"/>
              <w:spacing w:after="0"/>
              <w:rPr>
                <w:sz w:val="20"/>
                <w:szCs w:val="20"/>
                <w:color w:val="auto"/>
              </w:rPr>
            </w:pPr>
            <w:r>
              <w:rPr>
                <w:rFonts w:ascii="Arial" w:cs="Arial" w:eastAsia="Arial" w:hAnsi="Arial"/>
                <w:sz w:val="16"/>
                <w:szCs w:val="16"/>
                <w:b w:val="1"/>
                <w:bCs w:val="1"/>
                <w:color w:val="auto"/>
                <w:w w:val="99"/>
              </w:rPr>
              <w:t>CIVEO CORPORATION</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60" w:type="dxa"/>
            <w:vAlign w:val="bottom"/>
            <w:gridSpan w:val="7"/>
          </w:tcPr>
          <w:p>
            <w:pPr>
              <w:jc w:val="center"/>
              <w:ind w:left="719"/>
              <w:spacing w:after="0"/>
              <w:rPr>
                <w:sz w:val="20"/>
                <w:szCs w:val="20"/>
                <w:color w:val="auto"/>
              </w:rPr>
            </w:pPr>
            <w:r>
              <w:rPr>
                <w:rFonts w:ascii="Arial" w:cs="Arial" w:eastAsia="Arial" w:hAnsi="Arial"/>
                <w:sz w:val="16"/>
                <w:szCs w:val="16"/>
                <w:b w:val="1"/>
                <w:bCs w:val="1"/>
                <w:color w:val="auto"/>
              </w:rPr>
              <w:t>UNAUDITED CONSOLIDATED STATEMENTS OF CASH FLOWS</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20" w:type="dxa"/>
            <w:vAlign w:val="bottom"/>
            <w:gridSpan w:val="3"/>
          </w:tcPr>
          <w:p>
            <w:pPr>
              <w:jc w:val="center"/>
              <w:ind w:left="2939"/>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5"/>
        </w:trPr>
        <w:tc>
          <w:tcPr>
            <w:tcW w:w="3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6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71"/>
        </w:trPr>
        <w:tc>
          <w:tcPr>
            <w:tcW w:w="366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6"/>
                <w:szCs w:val="16"/>
                <w:color w:val="auto"/>
              </w:rPr>
              <w:t>Net income (loss)</w:t>
            </w: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40" w:type="dxa"/>
            <w:vAlign w:val="bottom"/>
            <w:gridSpan w:val="4"/>
          </w:tcPr>
          <w:p>
            <w:pPr>
              <w:jc w:val="right"/>
              <w:ind w:right="80"/>
              <w:spacing w:after="0"/>
              <w:rPr>
                <w:sz w:val="20"/>
                <w:szCs w:val="20"/>
                <w:color w:val="auto"/>
              </w:rPr>
            </w:pPr>
            <w:r>
              <w:rPr>
                <w:rFonts w:ascii="Arial" w:cs="Arial" w:eastAsia="Arial" w:hAnsi="Arial"/>
                <w:sz w:val="16"/>
                <w:szCs w:val="16"/>
                <w:color w:val="auto"/>
              </w:rPr>
              <w:t>$ (120,209)</w:t>
            </w:r>
          </w:p>
        </w:tc>
        <w:tc>
          <w:tcPr>
            <w:tcW w:w="780" w:type="dxa"/>
            <w:vAlign w:val="bottom"/>
          </w:tcPr>
          <w:p>
            <w:pPr>
              <w:jc w:val="right"/>
              <w:spacing w:after="0"/>
              <w:rPr>
                <w:sz w:val="20"/>
                <w:szCs w:val="20"/>
                <w:color w:val="auto"/>
              </w:rPr>
            </w:pPr>
            <w:r>
              <w:rPr>
                <w:rFonts w:ascii="Arial" w:cs="Arial" w:eastAsia="Arial" w:hAnsi="Arial"/>
                <w:sz w:val="16"/>
                <w:szCs w:val="16"/>
                <w:color w:val="auto"/>
              </w:rPr>
              <w:t>$ 83,644</w:t>
            </w:r>
          </w:p>
        </w:tc>
        <w:tc>
          <w:tcPr>
            <w:tcW w:w="0" w:type="dxa"/>
            <w:vAlign w:val="bottom"/>
          </w:tcPr>
          <w:p>
            <w:pPr>
              <w:spacing w:after="0"/>
              <w:rPr>
                <w:sz w:val="1"/>
                <w:szCs w:val="1"/>
                <w:color w:val="auto"/>
              </w:rPr>
            </w:pPr>
          </w:p>
        </w:tc>
      </w:tr>
      <w:tr>
        <w:trPr>
          <w:trHeight w:val="270"/>
        </w:trPr>
        <w:tc>
          <w:tcPr>
            <w:tcW w:w="7260" w:type="dxa"/>
            <w:vAlign w:val="bottom"/>
            <w:gridSpan w:val="7"/>
          </w:tcPr>
          <w:p>
            <w:pPr>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40" w:type="dxa"/>
            <w:vAlign w:val="bottom"/>
            <w:gridSpan w:val="4"/>
          </w:tcPr>
          <w:p>
            <w:pPr>
              <w:jc w:val="right"/>
              <w:ind w:right="80"/>
              <w:spacing w:after="0"/>
              <w:rPr>
                <w:sz w:val="20"/>
                <w:szCs w:val="20"/>
                <w:color w:val="auto"/>
              </w:rPr>
            </w:pPr>
            <w:r>
              <w:rPr>
                <w:rFonts w:ascii="Arial" w:cs="Arial" w:eastAsia="Arial" w:hAnsi="Arial"/>
                <w:sz w:val="16"/>
                <w:szCs w:val="16"/>
                <w:color w:val="auto"/>
              </w:rPr>
              <w:t>121,159</w:t>
            </w:r>
          </w:p>
        </w:tc>
        <w:tc>
          <w:tcPr>
            <w:tcW w:w="780" w:type="dxa"/>
            <w:vAlign w:val="bottom"/>
          </w:tcPr>
          <w:p>
            <w:pPr>
              <w:jc w:val="right"/>
              <w:spacing w:after="0"/>
              <w:rPr>
                <w:sz w:val="20"/>
                <w:szCs w:val="20"/>
                <w:color w:val="auto"/>
              </w:rPr>
            </w:pPr>
            <w:r>
              <w:rPr>
                <w:rFonts w:ascii="Arial" w:cs="Arial" w:eastAsia="Arial" w:hAnsi="Arial"/>
                <w:sz w:val="16"/>
                <w:szCs w:val="16"/>
                <w:color w:val="auto"/>
              </w:rPr>
              <w:t>127,770</w:t>
            </w:r>
          </w:p>
        </w:tc>
        <w:tc>
          <w:tcPr>
            <w:tcW w:w="0" w:type="dxa"/>
            <w:vAlign w:val="bottom"/>
          </w:tcPr>
          <w:p>
            <w:pPr>
              <w:spacing w:after="0"/>
              <w:rPr>
                <w:sz w:val="1"/>
                <w:szCs w:val="1"/>
                <w:color w:val="auto"/>
              </w:rPr>
            </w:pPr>
          </w:p>
        </w:tc>
      </w:tr>
      <w:tr>
        <w:trPr>
          <w:trHeight w:val="270"/>
        </w:trPr>
        <w:tc>
          <w:tcPr>
            <w:tcW w:w="3660" w:type="dxa"/>
            <w:vAlign w:val="bottom"/>
          </w:tcPr>
          <w:p>
            <w:pPr>
              <w:ind w:left="140"/>
              <w:spacing w:after="0"/>
              <w:rPr>
                <w:sz w:val="20"/>
                <w:szCs w:val="20"/>
                <w:color w:val="auto"/>
              </w:rPr>
            </w:pPr>
            <w:r>
              <w:rPr>
                <w:rFonts w:ascii="Arial" w:cs="Arial" w:eastAsia="Arial" w:hAnsi="Arial"/>
                <w:sz w:val="16"/>
                <w:szCs w:val="16"/>
                <w:color w:val="auto"/>
              </w:rPr>
              <w:t>Impairment charges</w:t>
            </w: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40" w:type="dxa"/>
            <w:vAlign w:val="bottom"/>
            <w:gridSpan w:val="4"/>
          </w:tcPr>
          <w:p>
            <w:pPr>
              <w:jc w:val="right"/>
              <w:ind w:right="80"/>
              <w:spacing w:after="0"/>
              <w:rPr>
                <w:sz w:val="20"/>
                <w:szCs w:val="20"/>
                <w:color w:val="auto"/>
              </w:rPr>
            </w:pPr>
            <w:r>
              <w:rPr>
                <w:rFonts w:ascii="Arial" w:cs="Arial" w:eastAsia="Arial" w:hAnsi="Arial"/>
                <w:sz w:val="16"/>
                <w:szCs w:val="16"/>
                <w:color w:val="auto"/>
              </w:rPr>
              <w:t>122,926</w:t>
            </w:r>
          </w:p>
        </w:tc>
        <w:tc>
          <w:tcPr>
            <w:tcW w:w="780" w:type="dxa"/>
            <w:vAlign w:val="bottom"/>
          </w:tcPr>
          <w:p>
            <w:pPr>
              <w:jc w:val="right"/>
              <w:spacing w:after="0"/>
              <w:rPr>
                <w:sz w:val="20"/>
                <w:szCs w:val="20"/>
                <w:color w:val="auto"/>
              </w:rPr>
            </w:pPr>
            <w:r>
              <w:rPr>
                <w:rFonts w:ascii="Arial" w:cs="Arial" w:eastAsia="Arial" w:hAnsi="Arial"/>
                <w:sz w:val="16"/>
                <w:szCs w:val="16"/>
                <w:color w:val="auto"/>
              </w:rPr>
              <w:t>11,610</w:t>
            </w:r>
          </w:p>
        </w:tc>
        <w:tc>
          <w:tcPr>
            <w:tcW w:w="0" w:type="dxa"/>
            <w:vAlign w:val="bottom"/>
          </w:tcPr>
          <w:p>
            <w:pPr>
              <w:spacing w:after="0"/>
              <w:rPr>
                <w:sz w:val="1"/>
                <w:szCs w:val="1"/>
                <w:color w:val="auto"/>
              </w:rPr>
            </w:pPr>
          </w:p>
        </w:tc>
      </w:tr>
      <w:tr>
        <w:trPr>
          <w:trHeight w:val="270"/>
        </w:trPr>
        <w:tc>
          <w:tcPr>
            <w:tcW w:w="3660" w:type="dxa"/>
            <w:vAlign w:val="bottom"/>
          </w:tcPr>
          <w:p>
            <w:pPr>
              <w:ind w:left="140"/>
              <w:spacing w:after="0"/>
              <w:rPr>
                <w:sz w:val="20"/>
                <w:szCs w:val="20"/>
                <w:color w:val="auto"/>
              </w:rPr>
            </w:pPr>
            <w:r>
              <w:rPr>
                <w:rFonts w:ascii="Arial" w:cs="Arial" w:eastAsia="Arial" w:hAnsi="Arial"/>
                <w:sz w:val="16"/>
                <w:szCs w:val="16"/>
                <w:color w:val="auto"/>
              </w:rPr>
              <w:t>Inventory write-down</w:t>
            </w: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40" w:type="dxa"/>
            <w:vAlign w:val="bottom"/>
            <w:gridSpan w:val="4"/>
          </w:tcPr>
          <w:p>
            <w:pPr>
              <w:jc w:val="right"/>
              <w:ind w:right="80"/>
              <w:spacing w:after="0"/>
              <w:rPr>
                <w:sz w:val="20"/>
                <w:szCs w:val="20"/>
                <w:color w:val="auto"/>
              </w:rPr>
            </w:pPr>
            <w:r>
              <w:rPr>
                <w:rFonts w:ascii="Arial" w:cs="Arial" w:eastAsia="Arial" w:hAnsi="Arial"/>
                <w:sz w:val="16"/>
                <w:szCs w:val="16"/>
                <w:color w:val="auto"/>
              </w:rPr>
              <w:t>1,015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660" w:type="dxa"/>
            <w:vAlign w:val="bottom"/>
          </w:tcPr>
          <w:p>
            <w:pPr>
              <w:ind w:left="140"/>
              <w:spacing w:after="0"/>
              <w:rPr>
                <w:sz w:val="20"/>
                <w:szCs w:val="20"/>
                <w:color w:val="auto"/>
              </w:rPr>
            </w:pPr>
            <w:r>
              <w:rPr>
                <w:rFonts w:ascii="Arial" w:cs="Arial" w:eastAsia="Arial" w:hAnsi="Arial"/>
                <w:sz w:val="16"/>
                <w:szCs w:val="16"/>
                <w:color w:val="auto"/>
              </w:rPr>
              <w:t>Loss on extinguishment of debt</w:t>
            </w: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40" w:type="dxa"/>
            <w:vAlign w:val="bottom"/>
            <w:gridSpan w:val="4"/>
          </w:tcPr>
          <w:p>
            <w:pPr>
              <w:jc w:val="right"/>
              <w:ind w:right="80"/>
              <w:spacing w:after="0"/>
              <w:rPr>
                <w:sz w:val="20"/>
                <w:szCs w:val="20"/>
                <w:color w:val="auto"/>
              </w:rPr>
            </w:pPr>
            <w:r>
              <w:rPr>
                <w:rFonts w:ascii="Arial" w:cs="Arial" w:eastAsia="Arial" w:hAnsi="Arial"/>
                <w:sz w:val="16"/>
                <w:szCs w:val="16"/>
                <w:color w:val="auto"/>
              </w:rPr>
              <w:t>1,474</w:t>
            </w:r>
          </w:p>
        </w:tc>
        <w:tc>
          <w:tcPr>
            <w:tcW w:w="780" w:type="dxa"/>
            <w:vAlign w:val="bottom"/>
          </w:tcPr>
          <w:p>
            <w:pPr>
              <w:jc w:val="right"/>
              <w:spacing w:after="0"/>
              <w:rPr>
                <w:sz w:val="20"/>
                <w:szCs w:val="20"/>
                <w:color w:val="auto"/>
              </w:rPr>
            </w:pPr>
            <w:r>
              <w:rPr>
                <w:rFonts w:ascii="Arial" w:cs="Arial" w:eastAsia="Arial" w:hAnsi="Arial"/>
                <w:sz w:val="16"/>
                <w:szCs w:val="16"/>
                <w:color w:val="auto"/>
              </w:rPr>
              <w:t>3,455</w:t>
            </w:r>
          </w:p>
        </w:tc>
        <w:tc>
          <w:tcPr>
            <w:tcW w:w="0" w:type="dxa"/>
            <w:vAlign w:val="bottom"/>
          </w:tcPr>
          <w:p>
            <w:pPr>
              <w:spacing w:after="0"/>
              <w:rPr>
                <w:sz w:val="1"/>
                <w:szCs w:val="1"/>
                <w:color w:val="auto"/>
              </w:rPr>
            </w:pPr>
          </w:p>
        </w:tc>
      </w:tr>
      <w:tr>
        <w:trPr>
          <w:trHeight w:val="270"/>
        </w:trPr>
        <w:tc>
          <w:tcPr>
            <w:tcW w:w="3660" w:type="dxa"/>
            <w:vAlign w:val="bottom"/>
          </w:tcPr>
          <w:p>
            <w:pPr>
              <w:ind w:left="140"/>
              <w:spacing w:after="0"/>
              <w:rPr>
                <w:sz w:val="20"/>
                <w:szCs w:val="20"/>
                <w:color w:val="auto"/>
              </w:rPr>
            </w:pPr>
            <w:r>
              <w:rPr>
                <w:rFonts w:ascii="Arial" w:cs="Arial" w:eastAsia="Arial" w:hAnsi="Arial"/>
                <w:sz w:val="16"/>
                <w:szCs w:val="16"/>
                <w:color w:val="auto"/>
              </w:rPr>
              <w:t>Deferred income tax benefit</w:t>
            </w: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40" w:type="dxa"/>
            <w:vAlign w:val="bottom"/>
            <w:gridSpan w:val="4"/>
          </w:tcPr>
          <w:p>
            <w:pPr>
              <w:jc w:val="right"/>
              <w:ind w:right="80"/>
              <w:spacing w:after="0"/>
              <w:rPr>
                <w:sz w:val="20"/>
                <w:szCs w:val="20"/>
                <w:color w:val="auto"/>
              </w:rPr>
            </w:pPr>
            <w:r>
              <w:rPr>
                <w:rFonts w:ascii="Arial" w:cs="Arial" w:eastAsia="Arial" w:hAnsi="Arial"/>
                <w:sz w:val="16"/>
                <w:szCs w:val="16"/>
                <w:color w:val="auto"/>
              </w:rPr>
              <w:t>(34,200)</w:t>
            </w:r>
          </w:p>
        </w:tc>
        <w:tc>
          <w:tcPr>
            <w:tcW w:w="780" w:type="dxa"/>
            <w:vAlign w:val="bottom"/>
          </w:tcPr>
          <w:p>
            <w:pPr>
              <w:jc w:val="right"/>
              <w:spacing w:after="0"/>
              <w:rPr>
                <w:sz w:val="20"/>
                <w:szCs w:val="20"/>
                <w:color w:val="auto"/>
              </w:rPr>
            </w:pPr>
            <w:r>
              <w:rPr>
                <w:rFonts w:ascii="Arial" w:cs="Arial" w:eastAsia="Arial" w:hAnsi="Arial"/>
                <w:sz w:val="16"/>
                <w:szCs w:val="16"/>
                <w:color w:val="auto"/>
              </w:rPr>
              <w:t>(1,989)</w:t>
            </w:r>
          </w:p>
        </w:tc>
        <w:tc>
          <w:tcPr>
            <w:tcW w:w="0" w:type="dxa"/>
            <w:vAlign w:val="bottom"/>
          </w:tcPr>
          <w:p>
            <w:pPr>
              <w:spacing w:after="0"/>
              <w:rPr>
                <w:sz w:val="1"/>
                <w:szCs w:val="1"/>
                <w:color w:val="auto"/>
              </w:rPr>
            </w:pPr>
          </w:p>
        </w:tc>
      </w:tr>
      <w:tr>
        <w:trPr>
          <w:trHeight w:val="270"/>
        </w:trPr>
        <w:tc>
          <w:tcPr>
            <w:tcW w:w="3660" w:type="dxa"/>
            <w:vAlign w:val="bottom"/>
          </w:tcPr>
          <w:p>
            <w:pPr>
              <w:ind w:left="140"/>
              <w:spacing w:after="0"/>
              <w:rPr>
                <w:sz w:val="20"/>
                <w:szCs w:val="20"/>
                <w:color w:val="auto"/>
              </w:rPr>
            </w:pPr>
            <w:r>
              <w:rPr>
                <w:rFonts w:ascii="Arial" w:cs="Arial" w:eastAsia="Arial" w:hAnsi="Arial"/>
                <w:sz w:val="16"/>
                <w:szCs w:val="16"/>
                <w:color w:val="auto"/>
              </w:rPr>
              <w:t>Non-cash compensation charge</w:t>
            </w: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40" w:type="dxa"/>
            <w:vAlign w:val="bottom"/>
            <w:gridSpan w:val="4"/>
          </w:tcPr>
          <w:p>
            <w:pPr>
              <w:jc w:val="right"/>
              <w:ind w:right="80"/>
              <w:spacing w:after="0"/>
              <w:rPr>
                <w:sz w:val="20"/>
                <w:szCs w:val="20"/>
                <w:color w:val="auto"/>
              </w:rPr>
            </w:pPr>
            <w:r>
              <w:rPr>
                <w:rFonts w:ascii="Arial" w:cs="Arial" w:eastAsia="Arial" w:hAnsi="Arial"/>
                <w:sz w:val="16"/>
                <w:szCs w:val="16"/>
                <w:color w:val="auto"/>
              </w:rPr>
              <w:t>3,467</w:t>
            </w:r>
          </w:p>
        </w:tc>
        <w:tc>
          <w:tcPr>
            <w:tcW w:w="780" w:type="dxa"/>
            <w:vAlign w:val="bottom"/>
          </w:tcPr>
          <w:p>
            <w:pPr>
              <w:jc w:val="right"/>
              <w:spacing w:after="0"/>
              <w:rPr>
                <w:sz w:val="20"/>
                <w:szCs w:val="20"/>
                <w:color w:val="auto"/>
              </w:rPr>
            </w:pPr>
            <w:r>
              <w:rPr>
                <w:rFonts w:ascii="Arial" w:cs="Arial" w:eastAsia="Arial" w:hAnsi="Arial"/>
                <w:sz w:val="16"/>
                <w:szCs w:val="16"/>
                <w:color w:val="auto"/>
              </w:rPr>
              <w:t>5,892</w:t>
            </w:r>
          </w:p>
        </w:tc>
        <w:tc>
          <w:tcPr>
            <w:tcW w:w="0" w:type="dxa"/>
            <w:vAlign w:val="bottom"/>
          </w:tcPr>
          <w:p>
            <w:pPr>
              <w:spacing w:after="0"/>
              <w:rPr>
                <w:sz w:val="1"/>
                <w:szCs w:val="1"/>
                <w:color w:val="auto"/>
              </w:rPr>
            </w:pPr>
          </w:p>
        </w:tc>
      </w:tr>
      <w:tr>
        <w:trPr>
          <w:trHeight w:val="270"/>
        </w:trPr>
        <w:tc>
          <w:tcPr>
            <w:tcW w:w="3660" w:type="dxa"/>
            <w:vAlign w:val="bottom"/>
          </w:tcPr>
          <w:p>
            <w:pPr>
              <w:ind w:left="140"/>
              <w:spacing w:after="0"/>
              <w:rPr>
                <w:sz w:val="20"/>
                <w:szCs w:val="20"/>
                <w:color w:val="auto"/>
              </w:rPr>
            </w:pPr>
            <w:r>
              <w:rPr>
                <w:rFonts w:ascii="Arial" w:cs="Arial" w:eastAsia="Arial" w:hAnsi="Arial"/>
                <w:sz w:val="16"/>
                <w:szCs w:val="16"/>
                <w:color w:val="auto"/>
              </w:rPr>
              <w:t>Gains on disposals of assets</w:t>
            </w: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40" w:type="dxa"/>
            <w:vAlign w:val="bottom"/>
            <w:gridSpan w:val="4"/>
          </w:tcPr>
          <w:p>
            <w:pPr>
              <w:jc w:val="right"/>
              <w:ind w:right="80"/>
              <w:spacing w:after="0"/>
              <w:rPr>
                <w:sz w:val="20"/>
                <w:szCs w:val="20"/>
                <w:color w:val="auto"/>
              </w:rPr>
            </w:pPr>
            <w:r>
              <w:rPr>
                <w:rFonts w:ascii="Arial" w:cs="Arial" w:eastAsia="Arial" w:hAnsi="Arial"/>
                <w:sz w:val="16"/>
                <w:szCs w:val="16"/>
                <w:color w:val="auto"/>
              </w:rPr>
              <w:t>(800)</w:t>
            </w:r>
          </w:p>
        </w:tc>
        <w:tc>
          <w:tcPr>
            <w:tcW w:w="780" w:type="dxa"/>
            <w:vAlign w:val="bottom"/>
          </w:tcPr>
          <w:p>
            <w:pPr>
              <w:jc w:val="right"/>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bl>
    <w:p>
      <w:pPr>
        <w:sectPr>
          <w:pgSz w:w="11900" w:h="16878" w:orient="portrait"/>
          <w:cols w:equalWidth="0" w:num="1">
            <w:col w:w="10139"/>
          </w:cols>
          <w:pgMar w:left="320" w:top="121"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80" w:type="dxa"/>
            <w:vAlign w:val="bottom"/>
            <w:gridSpan w:val="5"/>
          </w:tcPr>
          <w:p>
            <w:pPr>
              <w:ind w:left="140"/>
              <w:spacing w:after="0"/>
              <w:rPr>
                <w:sz w:val="20"/>
                <w:szCs w:val="20"/>
                <w:color w:val="auto"/>
              </w:rPr>
            </w:pPr>
            <w:r>
              <w:rPr>
                <w:rFonts w:ascii="Arial" w:cs="Arial" w:eastAsia="Arial" w:hAnsi="Arial"/>
                <w:sz w:val="16"/>
                <w:szCs w:val="16"/>
                <w:color w:val="auto"/>
              </w:rPr>
              <w:t>Provision for loss on receivables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1,081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(1,196)</w:t>
            </w:r>
          </w:p>
        </w:tc>
        <w:tc>
          <w:tcPr>
            <w:tcW w:w="0" w:type="dxa"/>
            <w:vAlign w:val="bottom"/>
          </w:tcPr>
          <w:p>
            <w:pPr>
              <w:spacing w:after="0"/>
              <w:rPr>
                <w:sz w:val="1"/>
                <w:szCs w:val="1"/>
                <w:color w:val="auto"/>
              </w:rPr>
            </w:pPr>
          </w:p>
        </w:tc>
      </w:tr>
      <w:tr>
        <w:trPr>
          <w:trHeight w:val="270"/>
        </w:trPr>
        <w:tc>
          <w:tcPr>
            <w:tcW w:w="222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1,032</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2,687</w:t>
            </w:r>
          </w:p>
        </w:tc>
        <w:tc>
          <w:tcPr>
            <w:tcW w:w="0" w:type="dxa"/>
            <w:vAlign w:val="bottom"/>
          </w:tcPr>
          <w:p>
            <w:pPr>
              <w:spacing w:after="0"/>
              <w:rPr>
                <w:sz w:val="1"/>
                <w:szCs w:val="1"/>
                <w:color w:val="auto"/>
              </w:rPr>
            </w:pPr>
          </w:p>
        </w:tc>
      </w:tr>
      <w:tr>
        <w:trPr>
          <w:trHeight w:val="270"/>
        </w:trPr>
        <w:tc>
          <w:tcPr>
            <w:tcW w:w="3580" w:type="dxa"/>
            <w:vAlign w:val="bottom"/>
            <w:gridSpan w:val="5"/>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2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79,763</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(32,119)</w:t>
            </w:r>
          </w:p>
        </w:tc>
        <w:tc>
          <w:tcPr>
            <w:tcW w:w="0" w:type="dxa"/>
            <w:vAlign w:val="bottom"/>
          </w:tcPr>
          <w:p>
            <w:pPr>
              <w:spacing w:after="0"/>
              <w:rPr>
                <w:sz w:val="1"/>
                <w:szCs w:val="1"/>
                <w:color w:val="auto"/>
              </w:rPr>
            </w:pPr>
          </w:p>
        </w:tc>
      </w:tr>
      <w:tr>
        <w:trPr>
          <w:trHeight w:val="270"/>
        </w:trPr>
        <w:tc>
          <w:tcPr>
            <w:tcW w:w="222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5,556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13,897</w:t>
            </w:r>
          </w:p>
        </w:tc>
        <w:tc>
          <w:tcPr>
            <w:tcW w:w="0" w:type="dxa"/>
            <w:vAlign w:val="bottom"/>
          </w:tcPr>
          <w:p>
            <w:pPr>
              <w:spacing w:after="0"/>
              <w:rPr>
                <w:sz w:val="1"/>
                <w:szCs w:val="1"/>
                <w:color w:val="auto"/>
              </w:rPr>
            </w:pPr>
          </w:p>
        </w:tc>
      </w:tr>
      <w:tr>
        <w:trPr>
          <w:trHeight w:val="270"/>
        </w:trPr>
        <w:tc>
          <w:tcPr>
            <w:tcW w:w="3580" w:type="dxa"/>
            <w:vAlign w:val="bottom"/>
            <w:gridSpan w:val="5"/>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(5,094)</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10,957</w:t>
            </w:r>
          </w:p>
        </w:tc>
        <w:tc>
          <w:tcPr>
            <w:tcW w:w="0" w:type="dxa"/>
            <w:vAlign w:val="bottom"/>
          </w:tcPr>
          <w:p>
            <w:pPr>
              <w:spacing w:after="0"/>
              <w:rPr>
                <w:sz w:val="1"/>
                <w:szCs w:val="1"/>
                <w:color w:val="auto"/>
              </w:rPr>
            </w:pPr>
          </w:p>
        </w:tc>
      </w:tr>
      <w:tr>
        <w:trPr>
          <w:trHeight w:val="270"/>
        </w:trPr>
        <w:tc>
          <w:tcPr>
            <w:tcW w:w="2220" w:type="dxa"/>
            <w:vAlign w:val="bottom"/>
          </w:tcPr>
          <w:p>
            <w:pPr>
              <w:ind w:left="280"/>
              <w:spacing w:after="0"/>
              <w:rPr>
                <w:sz w:val="20"/>
                <w:szCs w:val="20"/>
                <w:color w:val="auto"/>
              </w:rPr>
            </w:pPr>
            <w:r>
              <w:rPr>
                <w:rFonts w:ascii="Arial" w:cs="Arial" w:eastAsia="Arial" w:hAnsi="Arial"/>
                <w:sz w:val="16"/>
                <w:szCs w:val="16"/>
                <w:color w:val="auto"/>
              </w:rPr>
              <w:t>Taxes payable</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1,652</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(17,340)</w:t>
            </w:r>
          </w:p>
        </w:tc>
        <w:tc>
          <w:tcPr>
            <w:tcW w:w="0" w:type="dxa"/>
            <w:vAlign w:val="bottom"/>
          </w:tcPr>
          <w:p>
            <w:pPr>
              <w:spacing w:after="0"/>
              <w:rPr>
                <w:sz w:val="1"/>
                <w:szCs w:val="1"/>
                <w:color w:val="auto"/>
              </w:rPr>
            </w:pPr>
          </w:p>
        </w:tc>
      </w:tr>
      <w:tr>
        <w:trPr>
          <w:trHeight w:val="263"/>
        </w:trPr>
        <w:tc>
          <w:tcPr>
            <w:tcW w:w="3580" w:type="dxa"/>
            <w:vAlign w:val="bottom"/>
            <w:gridSpan w:val="5"/>
          </w:tcPr>
          <w:p>
            <w:pPr>
              <w:ind w:left="280"/>
              <w:spacing w:after="0"/>
              <w:rPr>
                <w:sz w:val="20"/>
                <w:szCs w:val="20"/>
                <w:color w:val="auto"/>
              </w:rPr>
            </w:pPr>
            <w:r>
              <w:rPr>
                <w:rFonts w:ascii="Arial" w:cs="Arial" w:eastAsia="Arial" w:hAnsi="Arial"/>
                <w:sz w:val="16"/>
                <w:szCs w:val="16"/>
                <w:color w:val="auto"/>
              </w:rPr>
              <w:t>Other current assets and liabilities, net</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(3,889)</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w:t>
            </w:r>
          </w:p>
        </w:tc>
        <w:tc>
          <w:tcPr>
            <w:tcW w:w="0" w:type="dxa"/>
            <w:vAlign w:val="bottom"/>
          </w:tcPr>
          <w:p>
            <w:pPr>
              <w:spacing w:after="0"/>
              <w:rPr>
                <w:sz w:val="1"/>
                <w:szCs w:val="1"/>
                <w:color w:val="auto"/>
              </w:rPr>
            </w:pPr>
          </w:p>
        </w:tc>
      </w:tr>
      <w:tr>
        <w:trPr>
          <w:trHeight w:val="271"/>
        </w:trPr>
        <w:tc>
          <w:tcPr>
            <w:tcW w:w="3580" w:type="dxa"/>
            <w:vAlign w:val="bottom"/>
            <w:gridSpan w:val="5"/>
          </w:tcPr>
          <w:p>
            <w:pPr>
              <w:spacing w:after="0"/>
              <w:rPr>
                <w:sz w:val="20"/>
                <w:szCs w:val="20"/>
                <w:color w:val="auto"/>
              </w:rPr>
            </w:pPr>
            <w:r>
              <w:rPr>
                <w:rFonts w:ascii="Arial" w:cs="Arial" w:eastAsia="Arial" w:hAnsi="Arial"/>
                <w:sz w:val="16"/>
                <w:szCs w:val="16"/>
                <w:color w:val="auto"/>
              </w:rPr>
              <w:t>Net cash flows provided by operating activities</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174,933</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208,265</w:t>
            </w:r>
          </w:p>
        </w:tc>
        <w:tc>
          <w:tcPr>
            <w:tcW w:w="0" w:type="dxa"/>
            <w:vAlign w:val="bottom"/>
          </w:tcPr>
          <w:p>
            <w:pPr>
              <w:spacing w:after="0"/>
              <w:rPr>
                <w:sz w:val="1"/>
                <w:szCs w:val="1"/>
                <w:color w:val="auto"/>
              </w:rPr>
            </w:pPr>
          </w:p>
        </w:tc>
      </w:tr>
      <w:tr>
        <w:trPr>
          <w:trHeight w:val="540"/>
        </w:trPr>
        <w:tc>
          <w:tcPr>
            <w:tcW w:w="3580" w:type="dxa"/>
            <w:vAlign w:val="bottom"/>
            <w:gridSpan w:val="5"/>
          </w:tcPr>
          <w:p>
            <w:pPr>
              <w:spacing w:after="0"/>
              <w:rPr>
                <w:sz w:val="20"/>
                <w:szCs w:val="20"/>
                <w:color w:val="auto"/>
              </w:rPr>
            </w:pPr>
            <w:r>
              <w:rPr>
                <w:rFonts w:ascii="Arial" w:cs="Arial" w:eastAsia="Arial" w:hAnsi="Arial"/>
                <w:sz w:val="16"/>
                <w:szCs w:val="16"/>
                <w:color w:val="auto"/>
              </w:rPr>
              <w:t>Cash flows from investing activities: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40" w:type="dxa"/>
            <w:vAlign w:val="bottom"/>
            <w:gridSpan w:val="7"/>
          </w:tcPr>
          <w:p>
            <w:pPr>
              <w:ind w:left="140"/>
              <w:spacing w:after="0"/>
              <w:rPr>
                <w:sz w:val="20"/>
                <w:szCs w:val="20"/>
                <w:color w:val="auto"/>
              </w:rPr>
            </w:pPr>
            <w:r>
              <w:rPr>
                <w:rFonts w:ascii="Arial" w:cs="Arial" w:eastAsia="Arial" w:hAnsi="Arial"/>
                <w:sz w:val="16"/>
                <w:szCs w:val="16"/>
                <w:color w:val="auto"/>
              </w:rPr>
              <w:t>Capital expenditures, including capitalized interest</w:t>
            </w: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(43,701)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(208,297)</w:t>
            </w:r>
          </w:p>
        </w:tc>
        <w:tc>
          <w:tcPr>
            <w:tcW w:w="0" w:type="dxa"/>
            <w:vAlign w:val="bottom"/>
          </w:tcPr>
          <w:p>
            <w:pPr>
              <w:spacing w:after="0"/>
              <w:rPr>
                <w:sz w:val="1"/>
                <w:szCs w:val="1"/>
                <w:color w:val="auto"/>
              </w:rPr>
            </w:pPr>
          </w:p>
        </w:tc>
      </w:tr>
      <w:tr>
        <w:trPr>
          <w:trHeight w:val="263"/>
        </w:trPr>
        <w:tc>
          <w:tcPr>
            <w:tcW w:w="4440" w:type="dxa"/>
            <w:vAlign w:val="bottom"/>
            <w:gridSpan w:val="7"/>
          </w:tcPr>
          <w:p>
            <w:pPr>
              <w:ind w:left="140"/>
              <w:spacing w:after="0"/>
              <w:rPr>
                <w:sz w:val="20"/>
                <w:szCs w:val="20"/>
                <w:color w:val="auto"/>
              </w:rPr>
            </w:pPr>
            <w:r>
              <w:rPr>
                <w:rFonts w:ascii="Arial" w:cs="Arial" w:eastAsia="Arial" w:hAnsi="Arial"/>
                <w:sz w:val="16"/>
                <w:szCs w:val="16"/>
                <w:color w:val="auto"/>
              </w:rPr>
              <w:t>Proceeds from disposition of property, plant and equipment</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2,255</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271"/>
        </w:trPr>
        <w:tc>
          <w:tcPr>
            <w:tcW w:w="3580" w:type="dxa"/>
            <w:vAlign w:val="bottom"/>
            <w:gridSpan w:val="5"/>
          </w:tcPr>
          <w:p>
            <w:pPr>
              <w:ind w:left="280"/>
              <w:spacing w:after="0"/>
              <w:rPr>
                <w:sz w:val="20"/>
                <w:szCs w:val="20"/>
                <w:color w:val="auto"/>
              </w:rPr>
            </w:pPr>
            <w:r>
              <w:rPr>
                <w:rFonts w:ascii="Arial" w:cs="Arial" w:eastAsia="Arial" w:hAnsi="Arial"/>
                <w:sz w:val="16"/>
                <w:szCs w:val="16"/>
                <w:color w:val="auto"/>
              </w:rPr>
              <w:t>Net cash flows used in investing activities</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(41,446)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(206,690)</w:t>
            </w:r>
          </w:p>
        </w:tc>
        <w:tc>
          <w:tcPr>
            <w:tcW w:w="0" w:type="dxa"/>
            <w:vAlign w:val="bottom"/>
          </w:tcPr>
          <w:p>
            <w:pPr>
              <w:spacing w:after="0"/>
              <w:rPr>
                <w:sz w:val="1"/>
                <w:szCs w:val="1"/>
                <w:color w:val="auto"/>
              </w:rPr>
            </w:pPr>
          </w:p>
        </w:tc>
      </w:tr>
      <w:tr>
        <w:trPr>
          <w:trHeight w:val="540"/>
        </w:trPr>
        <w:tc>
          <w:tcPr>
            <w:tcW w:w="3580" w:type="dxa"/>
            <w:vAlign w:val="bottom"/>
            <w:gridSpan w:val="5"/>
          </w:tcPr>
          <w:p>
            <w:pPr>
              <w:spacing w:after="0"/>
              <w:rPr>
                <w:sz w:val="20"/>
                <w:szCs w:val="20"/>
                <w:color w:val="auto"/>
              </w:rPr>
            </w:pPr>
            <w:r>
              <w:rPr>
                <w:rFonts w:ascii="Arial" w:cs="Arial" w:eastAsia="Arial" w:hAnsi="Arial"/>
                <w:sz w:val="16"/>
                <w:szCs w:val="16"/>
                <w:color w:val="auto"/>
              </w:rPr>
              <w:t>Cash flows from financing activities: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gridSpan w:val="5"/>
          </w:tcPr>
          <w:p>
            <w:pPr>
              <w:ind w:left="140"/>
              <w:spacing w:after="0"/>
              <w:rPr>
                <w:sz w:val="20"/>
                <w:szCs w:val="20"/>
                <w:color w:val="auto"/>
              </w:rPr>
            </w:pPr>
            <w:r>
              <w:rPr>
                <w:rFonts w:ascii="Arial" w:cs="Arial" w:eastAsia="Arial" w:hAnsi="Arial"/>
                <w:sz w:val="16"/>
                <w:szCs w:val="16"/>
                <w:color w:val="auto"/>
              </w:rPr>
              <w:t>Proceeds from issuance of common shares</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500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580" w:type="dxa"/>
            <w:vAlign w:val="bottom"/>
            <w:gridSpan w:val="5"/>
          </w:tcPr>
          <w:p>
            <w:pPr>
              <w:ind w:left="140"/>
              <w:spacing w:after="0"/>
              <w:rPr>
                <w:sz w:val="20"/>
                <w:szCs w:val="20"/>
                <w:color w:val="auto"/>
              </w:rPr>
            </w:pPr>
            <w:r>
              <w:rPr>
                <w:rFonts w:ascii="Arial" w:cs="Arial" w:eastAsia="Arial" w:hAnsi="Arial"/>
                <w:sz w:val="16"/>
                <w:szCs w:val="16"/>
                <w:color w:val="auto"/>
              </w:rPr>
              <w:t>Term loan borrowings, net of issuance costs</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325,000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775,000</w:t>
            </w:r>
          </w:p>
        </w:tc>
        <w:tc>
          <w:tcPr>
            <w:tcW w:w="0" w:type="dxa"/>
            <w:vAlign w:val="bottom"/>
          </w:tcPr>
          <w:p>
            <w:pPr>
              <w:spacing w:after="0"/>
              <w:rPr>
                <w:sz w:val="1"/>
                <w:szCs w:val="1"/>
                <w:color w:val="auto"/>
              </w:rPr>
            </w:pPr>
          </w:p>
        </w:tc>
      </w:tr>
      <w:tr>
        <w:trPr>
          <w:trHeight w:val="270"/>
        </w:trPr>
        <w:tc>
          <w:tcPr>
            <w:tcW w:w="2220" w:type="dxa"/>
            <w:vAlign w:val="bottom"/>
          </w:tcPr>
          <w:p>
            <w:pPr>
              <w:ind w:left="140"/>
              <w:spacing w:after="0"/>
              <w:rPr>
                <w:sz w:val="20"/>
                <w:szCs w:val="20"/>
                <w:color w:val="auto"/>
              </w:rPr>
            </w:pPr>
            <w:r>
              <w:rPr>
                <w:rFonts w:ascii="Arial" w:cs="Arial" w:eastAsia="Arial" w:hAnsi="Arial"/>
                <w:sz w:val="16"/>
                <w:szCs w:val="16"/>
                <w:color w:val="auto"/>
              </w:rPr>
              <w:t>Term loan repayments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(725,000)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580" w:type="dxa"/>
            <w:vAlign w:val="bottom"/>
            <w:gridSpan w:val="5"/>
          </w:tcPr>
          <w:p>
            <w:pPr>
              <w:ind w:left="140"/>
              <w:spacing w:after="0"/>
              <w:rPr>
                <w:sz w:val="20"/>
                <w:szCs w:val="20"/>
                <w:color w:val="auto"/>
              </w:rPr>
            </w:pPr>
            <w:r>
              <w:rPr>
                <w:rFonts w:ascii="Arial" w:cs="Arial" w:eastAsia="Arial" w:hAnsi="Arial"/>
                <w:sz w:val="16"/>
                <w:szCs w:val="16"/>
                <w:color w:val="auto"/>
              </w:rPr>
              <w:t>Revolver borrowings (repayments), net</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56,708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220" w:type="dxa"/>
            <w:vAlign w:val="bottom"/>
          </w:tcPr>
          <w:p>
            <w:pPr>
              <w:ind w:left="140"/>
              <w:spacing w:after="0"/>
              <w:rPr>
                <w:sz w:val="20"/>
                <w:szCs w:val="20"/>
                <w:color w:val="auto"/>
              </w:rPr>
            </w:pPr>
            <w:r>
              <w:rPr>
                <w:rFonts w:ascii="Arial" w:cs="Arial" w:eastAsia="Arial" w:hAnsi="Arial"/>
                <w:sz w:val="16"/>
                <w:szCs w:val="16"/>
                <w:color w:val="auto"/>
              </w:rPr>
              <w:t>Dividends paid</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(13,893)</w:t>
            </w:r>
          </w:p>
        </w:tc>
        <w:tc>
          <w:tcPr>
            <w:tcW w:w="0" w:type="dxa"/>
            <w:vAlign w:val="bottom"/>
          </w:tcPr>
          <w:p>
            <w:pPr>
              <w:spacing w:after="0"/>
              <w:rPr>
                <w:sz w:val="1"/>
                <w:szCs w:val="1"/>
                <w:color w:val="auto"/>
              </w:rPr>
            </w:pPr>
          </w:p>
        </w:tc>
      </w:tr>
      <w:tr>
        <w:trPr>
          <w:trHeight w:val="270"/>
        </w:trPr>
        <w:tc>
          <w:tcPr>
            <w:tcW w:w="2220" w:type="dxa"/>
            <w:vAlign w:val="bottom"/>
          </w:tcPr>
          <w:p>
            <w:pPr>
              <w:ind w:left="140"/>
              <w:spacing w:after="0"/>
              <w:rPr>
                <w:sz w:val="20"/>
                <w:szCs w:val="20"/>
                <w:color w:val="auto"/>
              </w:rPr>
            </w:pPr>
            <w:r>
              <w:rPr>
                <w:rFonts w:ascii="Arial" w:cs="Arial" w:eastAsia="Arial" w:hAnsi="Arial"/>
                <w:sz w:val="16"/>
                <w:szCs w:val="16"/>
                <w:color w:val="auto"/>
              </w:rPr>
              <w:t>Debt issuance costs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(4,555)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(9,460)</w:t>
            </w:r>
          </w:p>
        </w:tc>
        <w:tc>
          <w:tcPr>
            <w:tcW w:w="0" w:type="dxa"/>
            <w:vAlign w:val="bottom"/>
          </w:tcPr>
          <w:p>
            <w:pPr>
              <w:spacing w:after="0"/>
              <w:rPr>
                <w:sz w:val="1"/>
                <w:szCs w:val="1"/>
                <w:color w:val="auto"/>
              </w:rPr>
            </w:pPr>
          </w:p>
        </w:tc>
      </w:tr>
      <w:tr>
        <w:trPr>
          <w:trHeight w:val="270"/>
        </w:trPr>
        <w:tc>
          <w:tcPr>
            <w:tcW w:w="2220" w:type="dxa"/>
            <w:vAlign w:val="bottom"/>
          </w:tcPr>
          <w:p>
            <w:pPr>
              <w:ind w:left="140"/>
              <w:spacing w:after="0"/>
              <w:rPr>
                <w:sz w:val="20"/>
                <w:szCs w:val="20"/>
                <w:color w:val="auto"/>
              </w:rPr>
            </w:pPr>
            <w:r>
              <w:rPr>
                <w:rFonts w:ascii="Arial" w:cs="Arial" w:eastAsia="Arial" w:hAnsi="Arial"/>
                <w:sz w:val="16"/>
                <w:szCs w:val="16"/>
                <w:color w:val="auto"/>
              </w:rPr>
              <w:t>Distributions to Oil States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(750,000)</w:t>
            </w:r>
          </w:p>
        </w:tc>
        <w:tc>
          <w:tcPr>
            <w:tcW w:w="0" w:type="dxa"/>
            <w:vAlign w:val="bottom"/>
          </w:tcPr>
          <w:p>
            <w:pPr>
              <w:spacing w:after="0"/>
              <w:rPr>
                <w:sz w:val="1"/>
                <w:szCs w:val="1"/>
                <w:color w:val="auto"/>
              </w:rPr>
            </w:pPr>
          </w:p>
        </w:tc>
      </w:tr>
      <w:tr>
        <w:trPr>
          <w:trHeight w:val="263"/>
        </w:trPr>
        <w:tc>
          <w:tcPr>
            <w:tcW w:w="2220" w:type="dxa"/>
            <w:vAlign w:val="bottom"/>
          </w:tcPr>
          <w:p>
            <w:pPr>
              <w:ind w:left="140"/>
              <w:spacing w:after="0"/>
              <w:rPr>
                <w:sz w:val="20"/>
                <w:szCs w:val="20"/>
                <w:color w:val="auto"/>
              </w:rPr>
            </w:pPr>
            <w:r>
              <w:rPr>
                <w:rFonts w:ascii="Arial" w:cs="Arial" w:eastAsia="Arial" w:hAnsi="Arial"/>
                <w:sz w:val="16"/>
                <w:szCs w:val="16"/>
                <w:color w:val="auto"/>
              </w:rPr>
              <w:t>Contributions from Oil States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28,257</w:t>
            </w:r>
          </w:p>
        </w:tc>
        <w:tc>
          <w:tcPr>
            <w:tcW w:w="0" w:type="dxa"/>
            <w:vAlign w:val="bottom"/>
          </w:tcPr>
          <w:p>
            <w:pPr>
              <w:spacing w:after="0"/>
              <w:rPr>
                <w:sz w:val="1"/>
                <w:szCs w:val="1"/>
                <w:color w:val="auto"/>
              </w:rPr>
            </w:pPr>
          </w:p>
        </w:tc>
      </w:tr>
      <w:tr>
        <w:trPr>
          <w:trHeight w:val="271"/>
        </w:trPr>
        <w:tc>
          <w:tcPr>
            <w:tcW w:w="4440" w:type="dxa"/>
            <w:vAlign w:val="bottom"/>
            <w:gridSpan w:val="7"/>
          </w:tcPr>
          <w:p>
            <w:pPr>
              <w:ind w:left="280"/>
              <w:spacing w:after="0"/>
              <w:rPr>
                <w:sz w:val="20"/>
                <w:szCs w:val="20"/>
                <w:color w:val="auto"/>
              </w:rPr>
            </w:pPr>
            <w:r>
              <w:rPr>
                <w:rFonts w:ascii="Arial" w:cs="Arial" w:eastAsia="Arial" w:hAnsi="Arial"/>
                <w:sz w:val="16"/>
                <w:szCs w:val="16"/>
                <w:color w:val="auto"/>
              </w:rPr>
              <w:t>Net cash flows provided by (used in) financing activities</w:t>
            </w: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(347,347)</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29,904</w:t>
            </w:r>
          </w:p>
        </w:tc>
        <w:tc>
          <w:tcPr>
            <w:tcW w:w="0" w:type="dxa"/>
            <w:vAlign w:val="bottom"/>
          </w:tcPr>
          <w:p>
            <w:pPr>
              <w:spacing w:after="0"/>
              <w:rPr>
                <w:sz w:val="1"/>
                <w:szCs w:val="1"/>
                <w:color w:val="auto"/>
              </w:rPr>
            </w:pPr>
          </w:p>
        </w:tc>
      </w:tr>
      <w:tr>
        <w:trPr>
          <w:trHeight w:val="533"/>
        </w:trPr>
        <w:tc>
          <w:tcPr>
            <w:tcW w:w="3580" w:type="dxa"/>
            <w:vAlign w:val="bottom"/>
            <w:gridSpan w:val="5"/>
          </w:tcPr>
          <w:p>
            <w:pPr>
              <w:spacing w:after="0"/>
              <w:rPr>
                <w:sz w:val="20"/>
                <w:szCs w:val="20"/>
                <w:color w:val="auto"/>
              </w:rPr>
            </w:pPr>
            <w:r>
              <w:rPr>
                <w:rFonts w:ascii="Arial" w:cs="Arial" w:eastAsia="Arial" w:hAnsi="Arial"/>
                <w:sz w:val="16"/>
                <w:szCs w:val="16"/>
                <w:color w:val="auto"/>
              </w:rPr>
              <w:t>Effect of exchange rate changes on cash</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(36,819)</w:t>
            </w: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(13,793)</w:t>
            </w:r>
          </w:p>
        </w:tc>
        <w:tc>
          <w:tcPr>
            <w:tcW w:w="0" w:type="dxa"/>
            <w:vAlign w:val="bottom"/>
          </w:tcPr>
          <w:p>
            <w:pPr>
              <w:spacing w:after="0"/>
              <w:rPr>
                <w:sz w:val="1"/>
                <w:szCs w:val="1"/>
                <w:color w:val="auto"/>
              </w:rPr>
            </w:pPr>
          </w:p>
        </w:tc>
      </w:tr>
      <w:tr>
        <w:trPr>
          <w:trHeight w:val="541"/>
        </w:trPr>
        <w:tc>
          <w:tcPr>
            <w:tcW w:w="3580" w:type="dxa"/>
            <w:vAlign w:val="bottom"/>
            <w:gridSpan w:val="5"/>
          </w:tcPr>
          <w:p>
            <w:pPr>
              <w:spacing w:after="0"/>
              <w:rPr>
                <w:sz w:val="20"/>
                <w:szCs w:val="20"/>
                <w:color w:val="auto"/>
              </w:rPr>
            </w:pPr>
            <w:r>
              <w:rPr>
                <w:rFonts w:ascii="Arial" w:cs="Arial" w:eastAsia="Arial" w:hAnsi="Arial"/>
                <w:sz w:val="16"/>
                <w:szCs w:val="16"/>
                <w:color w:val="auto"/>
              </w:rPr>
              <w:t>Net change in cash and cash equivalents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(250,679)</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17,686</w:t>
            </w:r>
          </w:p>
        </w:tc>
        <w:tc>
          <w:tcPr>
            <w:tcW w:w="0" w:type="dxa"/>
            <w:vAlign w:val="bottom"/>
          </w:tcPr>
          <w:p>
            <w:pPr>
              <w:spacing w:after="0"/>
              <w:rPr>
                <w:sz w:val="1"/>
                <w:szCs w:val="1"/>
                <w:color w:val="auto"/>
              </w:rPr>
            </w:pPr>
          </w:p>
        </w:tc>
      </w:tr>
      <w:tr>
        <w:trPr>
          <w:trHeight w:val="540"/>
        </w:trPr>
        <w:tc>
          <w:tcPr>
            <w:tcW w:w="3580" w:type="dxa"/>
            <w:vAlign w:val="bottom"/>
            <w:gridSpan w:val="5"/>
          </w:tcPr>
          <w:p>
            <w:pPr>
              <w:spacing w:after="0"/>
              <w:rPr>
                <w:sz w:val="20"/>
                <w:szCs w:val="20"/>
                <w:color w:val="auto"/>
              </w:rPr>
            </w:pPr>
            <w:r>
              <w:rPr>
                <w:rFonts w:ascii="Arial" w:cs="Arial" w:eastAsia="Arial" w:hAnsi="Arial"/>
                <w:sz w:val="16"/>
                <w:szCs w:val="16"/>
                <w:color w:val="auto"/>
              </w:rPr>
              <w:t>Cash and cash equivalents, beginning of period</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263,314</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224,128</w:t>
            </w:r>
          </w:p>
        </w:tc>
        <w:tc>
          <w:tcPr>
            <w:tcW w:w="0" w:type="dxa"/>
            <w:vAlign w:val="bottom"/>
          </w:tcPr>
          <w:p>
            <w:pPr>
              <w:spacing w:after="0"/>
              <w:rPr>
                <w:sz w:val="1"/>
                <w:szCs w:val="1"/>
                <w:color w:val="auto"/>
              </w:rPr>
            </w:pPr>
          </w:p>
        </w:tc>
      </w:tr>
      <w:tr>
        <w:trPr>
          <w:trHeight w:val="263"/>
        </w:trPr>
        <w:tc>
          <w:tcPr>
            <w:tcW w:w="2440" w:type="dxa"/>
            <w:vAlign w:val="bottom"/>
            <w:gridSpan w:val="2"/>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80" w:type="dxa"/>
            <w:vAlign w:val="bottom"/>
            <w:gridSpan w:val="5"/>
          </w:tcPr>
          <w:p>
            <w:pPr>
              <w:spacing w:after="0"/>
              <w:rPr>
                <w:sz w:val="20"/>
                <w:szCs w:val="20"/>
                <w:color w:val="auto"/>
              </w:rPr>
            </w:pPr>
            <w:r>
              <w:rPr>
                <w:rFonts w:ascii="Arial" w:cs="Arial" w:eastAsia="Arial" w:hAnsi="Arial"/>
                <w:sz w:val="16"/>
                <w:szCs w:val="16"/>
                <w:color w:val="auto"/>
              </w:rPr>
              <w:t>Cash and cash equivalents, end of period</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$ 12,635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$ 241,814</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220" w:type="dxa"/>
            <w:vAlign w:val="bottom"/>
            <w:gridSpan w:val="6"/>
            <w:vMerge w:val="restart"/>
          </w:tcPr>
          <w:p>
            <w:pPr>
              <w:jc w:val="center"/>
              <w:ind w:right="460"/>
              <w:spacing w:after="0"/>
              <w:rPr>
                <w:sz w:val="20"/>
                <w:szCs w:val="20"/>
                <w:color w:val="auto"/>
              </w:rPr>
            </w:pPr>
            <w:r>
              <w:rPr>
                <w:rFonts w:ascii="Arial" w:cs="Arial" w:eastAsia="Arial" w:hAnsi="Arial"/>
                <w:sz w:val="16"/>
                <w:szCs w:val="16"/>
                <w:b w:val="1"/>
                <w:bCs w:val="1"/>
                <w:color w:val="auto"/>
              </w:rPr>
              <w:t>CIVEO CORPORATION</w:t>
            </w: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2220" w:type="dxa"/>
            <w:vAlign w:val="bottom"/>
          </w:tcPr>
          <w:p>
            <w:pPr>
              <w:spacing w:after="0"/>
              <w:rPr>
                <w:sz w:val="24"/>
                <w:szCs w:val="24"/>
                <w:color w:val="auto"/>
              </w:rPr>
            </w:pPr>
          </w:p>
        </w:tc>
        <w:tc>
          <w:tcPr>
            <w:tcW w:w="2220" w:type="dxa"/>
            <w:vAlign w:val="bottom"/>
            <w:gridSpan w:val="6"/>
            <w:vMerge w:val="continue"/>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gridSpan w:val="5"/>
          </w:tcPr>
          <w:p>
            <w:pPr>
              <w:jc w:val="center"/>
              <w:ind w:right="680"/>
              <w:spacing w:after="0"/>
              <w:rPr>
                <w:sz w:val="20"/>
                <w:szCs w:val="20"/>
                <w:color w:val="auto"/>
              </w:rPr>
            </w:pPr>
            <w:r>
              <w:rPr>
                <w:rFonts w:ascii="Arial" w:cs="Arial" w:eastAsia="Arial" w:hAnsi="Arial"/>
                <w:sz w:val="16"/>
                <w:szCs w:val="16"/>
                <w:b w:val="1"/>
                <w:bCs w:val="1"/>
                <w:color w:val="auto"/>
                <w:w w:val="99"/>
              </w:rPr>
              <w:t>SEGMENT DATA</w:t>
            </w: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gridSpan w:val="5"/>
          </w:tcPr>
          <w:p>
            <w:pPr>
              <w:jc w:val="center"/>
              <w:ind w:right="680"/>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3"/>
          </w:tcPr>
          <w:p>
            <w:pPr>
              <w:jc w:val="center"/>
              <w:ind w:left="99"/>
              <w:spacing w:after="0"/>
              <w:rPr>
                <w:sz w:val="20"/>
                <w:szCs w:val="20"/>
                <w:color w:val="auto"/>
              </w:rPr>
            </w:pPr>
            <w:r>
              <w:rPr>
                <w:rFonts w:ascii="Arial" w:cs="Arial" w:eastAsia="Arial" w:hAnsi="Arial"/>
                <w:sz w:val="16"/>
                <w:szCs w:val="16"/>
                <w:b w:val="1"/>
                <w:bCs w:val="1"/>
                <w:color w:val="auto"/>
              </w:rPr>
              <w:t>(unaudited)</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5"/>
        </w:trPr>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gridSpan w:val="10"/>
          </w:tcPr>
          <w:p>
            <w:pPr>
              <w:jc w:val="right"/>
              <w:ind w:right="899"/>
              <w:spacing w:after="0"/>
              <w:rPr>
                <w:sz w:val="20"/>
                <w:szCs w:val="20"/>
                <w:color w:val="auto"/>
              </w:rPr>
            </w:pPr>
            <w:r>
              <w:rPr>
                <w:rFonts w:ascii="Arial" w:cs="Arial" w:eastAsia="Arial" w:hAnsi="Arial"/>
                <w:sz w:val="16"/>
                <w:szCs w:val="16"/>
                <w:b w:val="1"/>
                <w:bCs w:val="1"/>
                <w:color w:val="auto"/>
              </w:rPr>
              <w:t>THREE MONTHS ENDED NINE MONTHS ENDED</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ind w:left="320"/>
              <w:spacing w:after="0"/>
              <w:rPr>
                <w:sz w:val="20"/>
                <w:szCs w:val="20"/>
                <w:color w:val="auto"/>
              </w:rPr>
            </w:pPr>
            <w:r>
              <w:rPr>
                <w:rFonts w:ascii="Arial" w:cs="Arial" w:eastAsia="Arial" w:hAnsi="Arial"/>
                <w:sz w:val="16"/>
                <w:szCs w:val="16"/>
                <w:b w:val="1"/>
                <w:bCs w:val="1"/>
                <w:color w:val="auto"/>
              </w:rPr>
              <w:t>SEPTEMBER 30,</w:t>
            </w:r>
          </w:p>
        </w:tc>
        <w:tc>
          <w:tcPr>
            <w:tcW w:w="2740" w:type="dxa"/>
            <w:vAlign w:val="bottom"/>
            <w:gridSpan w:val="5"/>
          </w:tcPr>
          <w:p>
            <w:pPr>
              <w:jc w:val="right"/>
              <w:ind w:right="1139"/>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220" w:type="dxa"/>
            <w:vAlign w:val="bottom"/>
          </w:tcPr>
          <w:p>
            <w:pPr>
              <w:spacing w:after="0"/>
              <w:rPr>
                <w:sz w:val="22"/>
                <w:szCs w:val="22"/>
                <w:color w:val="auto"/>
              </w:rPr>
            </w:pPr>
          </w:p>
        </w:tc>
        <w:tc>
          <w:tcPr>
            <w:tcW w:w="12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220" w:type="dxa"/>
            <w:vAlign w:val="bottom"/>
          </w:tcPr>
          <w:p>
            <w:pPr>
              <w:spacing w:after="0"/>
              <w:rPr>
                <w:sz w:val="20"/>
                <w:szCs w:val="20"/>
                <w:color w:val="auto"/>
              </w:rPr>
            </w:pPr>
            <w:r>
              <w:rPr>
                <w:rFonts w:ascii="Arial" w:cs="Arial" w:eastAsia="Arial" w:hAnsi="Arial"/>
                <w:sz w:val="16"/>
                <w:szCs w:val="16"/>
                <w:color w:val="auto"/>
              </w:rPr>
              <w:t>Revenues</w:t>
            </w:r>
          </w:p>
        </w:tc>
        <w:tc>
          <w:tcPr>
            <w:tcW w:w="220" w:type="dxa"/>
            <w:vAlign w:val="bottom"/>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20" w:type="dxa"/>
            <w:vAlign w:val="bottom"/>
          </w:tcPr>
          <w:p>
            <w:pPr>
              <w:ind w:left="140"/>
              <w:spacing w:after="0"/>
              <w:rPr>
                <w:sz w:val="20"/>
                <w:szCs w:val="20"/>
                <w:color w:val="auto"/>
              </w:rPr>
            </w:pPr>
            <w:r>
              <w:rPr>
                <w:rFonts w:ascii="Arial" w:cs="Arial" w:eastAsia="Arial" w:hAnsi="Arial"/>
                <w:sz w:val="16"/>
                <w:szCs w:val="16"/>
                <w:color w:val="auto"/>
              </w:rPr>
              <w:t>Canada</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$ 71,500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$ 174,111</w:t>
            </w: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$ 278,472</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$ 510,914</w:t>
            </w: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20" w:type="dxa"/>
            <w:vAlign w:val="bottom"/>
          </w:tcPr>
          <w:p>
            <w:pPr>
              <w:ind w:left="140"/>
              <w:spacing w:after="0"/>
              <w:rPr>
                <w:sz w:val="20"/>
                <w:szCs w:val="20"/>
                <w:color w:val="auto"/>
              </w:rPr>
            </w:pPr>
            <w:r>
              <w:rPr>
                <w:rFonts w:ascii="Arial" w:cs="Arial" w:eastAsia="Arial" w:hAnsi="Arial"/>
                <w:sz w:val="16"/>
                <w:szCs w:val="16"/>
                <w:color w:val="auto"/>
              </w:rPr>
              <w:t>Australia</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29,177</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54,000</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109,304</w:t>
            </w:r>
          </w:p>
        </w:tc>
        <w:tc>
          <w:tcPr>
            <w:tcW w:w="780" w:type="dxa"/>
            <w:vAlign w:val="bottom"/>
          </w:tcPr>
          <w:p>
            <w:pPr>
              <w:jc w:val="right"/>
              <w:spacing w:after="0"/>
              <w:rPr>
                <w:sz w:val="20"/>
                <w:szCs w:val="20"/>
                <w:color w:val="auto"/>
              </w:rPr>
            </w:pPr>
            <w:r>
              <w:rPr>
                <w:rFonts w:ascii="Arial" w:cs="Arial" w:eastAsia="Arial" w:hAnsi="Arial"/>
                <w:sz w:val="16"/>
                <w:szCs w:val="16"/>
                <w:color w:val="auto"/>
              </w:rPr>
              <w:t>163,847</w:t>
            </w: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22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2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5,867</w:t>
            </w:r>
          </w:p>
        </w:tc>
        <w:tc>
          <w:tcPr>
            <w:tcW w:w="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15,154</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32,902</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48,436</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220" w:type="dxa"/>
            <w:vAlign w:val="bottom"/>
          </w:tcPr>
          <w:p>
            <w:pPr>
              <w:ind w:left="280"/>
              <w:spacing w:after="0"/>
              <w:rPr>
                <w:sz w:val="20"/>
                <w:szCs w:val="20"/>
                <w:color w:val="auto"/>
              </w:rPr>
            </w:pPr>
            <w:r>
              <w:rPr>
                <w:rFonts w:ascii="Arial" w:cs="Arial" w:eastAsia="Arial" w:hAnsi="Arial"/>
                <w:sz w:val="16"/>
                <w:szCs w:val="16"/>
                <w:color w:val="auto"/>
              </w:rPr>
              <w:t>Total revenues</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$ 106,544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$ 243,265</w:t>
            </w: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$ 420,678</w:t>
            </w:r>
          </w:p>
        </w:tc>
        <w:tc>
          <w:tcPr>
            <w:tcW w:w="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$ 723,197</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tcPr>
          <w:p>
            <w:pPr>
              <w:ind w:left="140"/>
              <w:spacing w:after="0"/>
              <w:rPr>
                <w:sz w:val="20"/>
                <w:szCs w:val="20"/>
                <w:color w:val="auto"/>
              </w:rPr>
            </w:pPr>
            <w:r>
              <w:rPr>
                <w:rFonts w:ascii="Arial" w:cs="Arial" w:eastAsia="Arial" w:hAnsi="Arial"/>
                <w:sz w:val="16"/>
                <w:szCs w:val="16"/>
                <w:color w:val="auto"/>
              </w:rPr>
              <w:t>Canada</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 (47,218)</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$ 67,100</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$ 14,685</w:t>
            </w:r>
          </w:p>
        </w:tc>
        <w:tc>
          <w:tcPr>
            <w:tcW w:w="780" w:type="dxa"/>
            <w:vAlign w:val="bottom"/>
          </w:tcPr>
          <w:p>
            <w:pPr>
              <w:jc w:val="right"/>
              <w:spacing w:after="0"/>
              <w:rPr>
                <w:sz w:val="20"/>
                <w:szCs w:val="20"/>
                <w:color w:val="auto"/>
              </w:rPr>
            </w:pPr>
            <w:r>
              <w:rPr>
                <w:rFonts w:ascii="Arial" w:cs="Arial" w:eastAsia="Arial" w:hAnsi="Arial"/>
                <w:sz w:val="16"/>
                <w:szCs w:val="16"/>
                <w:color w:val="auto"/>
              </w:rPr>
              <w:t>$ 175,704</w:t>
            </w: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20" w:type="dxa"/>
            <w:vAlign w:val="bottom"/>
          </w:tcPr>
          <w:p>
            <w:pPr>
              <w:ind w:left="140"/>
              <w:spacing w:after="0"/>
              <w:rPr>
                <w:sz w:val="20"/>
                <w:szCs w:val="20"/>
                <w:color w:val="auto"/>
              </w:rPr>
            </w:pPr>
            <w:r>
              <w:rPr>
                <w:rFonts w:ascii="Arial" w:cs="Arial" w:eastAsia="Arial" w:hAnsi="Arial"/>
                <w:sz w:val="16"/>
                <w:szCs w:val="16"/>
                <w:color w:val="auto"/>
              </w:rPr>
              <w:t>Australia</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(12,505)</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27,042</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18,128</w:t>
            </w:r>
          </w:p>
        </w:tc>
        <w:tc>
          <w:tcPr>
            <w:tcW w:w="780" w:type="dxa"/>
            <w:vAlign w:val="bottom"/>
          </w:tcPr>
          <w:p>
            <w:pPr>
              <w:jc w:val="right"/>
              <w:spacing w:after="0"/>
              <w:rPr>
                <w:sz w:val="20"/>
                <w:szCs w:val="20"/>
                <w:color w:val="auto"/>
              </w:rPr>
            </w:pPr>
            <w:r>
              <w:rPr>
                <w:rFonts w:ascii="Arial" w:cs="Arial" w:eastAsia="Arial" w:hAnsi="Arial"/>
                <w:sz w:val="16"/>
                <w:szCs w:val="16"/>
                <w:color w:val="auto"/>
              </w:rPr>
              <w:t>74,268</w:t>
            </w: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2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(21,477)</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3,890</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(23,187)</w:t>
            </w:r>
          </w:p>
        </w:tc>
        <w:tc>
          <w:tcPr>
            <w:tcW w:w="780" w:type="dxa"/>
            <w:vAlign w:val="bottom"/>
          </w:tcPr>
          <w:p>
            <w:pPr>
              <w:jc w:val="right"/>
              <w:spacing w:after="0"/>
              <w:rPr>
                <w:sz w:val="20"/>
                <w:szCs w:val="20"/>
                <w:color w:val="auto"/>
              </w:rPr>
            </w:pPr>
            <w:r>
              <w:rPr>
                <w:rFonts w:ascii="Arial" w:cs="Arial" w:eastAsia="Arial" w:hAnsi="Arial"/>
                <w:sz w:val="16"/>
                <w:szCs w:val="16"/>
                <w:color w:val="auto"/>
              </w:rPr>
              <w:t>8,067</w:t>
            </w: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220" w:type="dxa"/>
            <w:vAlign w:val="bottom"/>
          </w:tcPr>
          <w:p>
            <w:pPr>
              <w:ind w:left="140"/>
              <w:spacing w:after="0"/>
              <w:rPr>
                <w:sz w:val="20"/>
                <w:szCs w:val="20"/>
                <w:color w:val="auto"/>
              </w:rPr>
            </w:pPr>
            <w:r>
              <w:rPr>
                <w:rFonts w:ascii="Arial" w:cs="Arial" w:eastAsia="Arial" w:hAnsi="Arial"/>
                <w:sz w:val="16"/>
                <w:szCs w:val="16"/>
                <w:color w:val="auto"/>
              </w:rPr>
              <w:t>Corporate and eliminations</w:t>
            </w:r>
          </w:p>
        </w:tc>
        <w:tc>
          <w:tcPr>
            <w:tcW w:w="2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(5,722)</w:t>
            </w:r>
          </w:p>
        </w:tc>
        <w:tc>
          <w:tcPr>
            <w:tcW w:w="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(6,573)</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(19,696)</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(15,228)</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220" w:type="dxa"/>
            <w:vAlign w:val="bottom"/>
          </w:tcPr>
          <w:p>
            <w:pPr>
              <w:ind w:left="280"/>
              <w:spacing w:after="0"/>
              <w:rPr>
                <w:sz w:val="20"/>
                <w:szCs w:val="20"/>
                <w:color w:val="auto"/>
              </w:rPr>
            </w:pPr>
            <w:r>
              <w:rPr>
                <w:rFonts w:ascii="Arial" w:cs="Arial" w:eastAsia="Arial" w:hAnsi="Arial"/>
                <w:sz w:val="16"/>
                <w:szCs w:val="16"/>
                <w:color w:val="auto"/>
              </w:rPr>
              <w:t>Total EBITDA</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 (86,922)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$ 91,459</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 (10,070)</w:t>
            </w:r>
          </w:p>
        </w:tc>
        <w:tc>
          <w:tcPr>
            <w:tcW w:w="780" w:type="dxa"/>
            <w:vAlign w:val="bottom"/>
          </w:tcPr>
          <w:p>
            <w:pPr>
              <w:jc w:val="right"/>
              <w:spacing w:after="0"/>
              <w:rPr>
                <w:sz w:val="20"/>
                <w:szCs w:val="20"/>
                <w:color w:val="auto"/>
              </w:rPr>
            </w:pPr>
            <w:r>
              <w:rPr>
                <w:rFonts w:ascii="Arial" w:cs="Arial" w:eastAsia="Arial" w:hAnsi="Arial"/>
                <w:sz w:val="16"/>
                <w:szCs w:val="16"/>
                <w:color w:val="auto"/>
              </w:rPr>
              <w:t>$ 242,811</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tcPr>
          <w:p>
            <w:pPr>
              <w:ind w:left="140"/>
              <w:spacing w:after="0"/>
              <w:rPr>
                <w:sz w:val="20"/>
                <w:szCs w:val="20"/>
                <w:color w:val="auto"/>
              </w:rPr>
            </w:pPr>
            <w:r>
              <w:rPr>
                <w:rFonts w:ascii="Arial" w:cs="Arial" w:eastAsia="Arial" w:hAnsi="Arial"/>
                <w:sz w:val="16"/>
                <w:szCs w:val="16"/>
                <w:color w:val="auto"/>
              </w:rPr>
              <w:t>Canada</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$ 19,463</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$ 67,104</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$ 81,524</w:t>
            </w:r>
          </w:p>
        </w:tc>
        <w:tc>
          <w:tcPr>
            <w:tcW w:w="780" w:type="dxa"/>
            <w:vAlign w:val="bottom"/>
          </w:tcPr>
          <w:p>
            <w:pPr>
              <w:jc w:val="right"/>
              <w:spacing w:after="0"/>
              <w:rPr>
                <w:sz w:val="20"/>
                <w:szCs w:val="20"/>
                <w:color w:val="auto"/>
              </w:rPr>
            </w:pPr>
            <w:r>
              <w:rPr>
                <w:rFonts w:ascii="Arial" w:cs="Arial" w:eastAsia="Arial" w:hAnsi="Arial"/>
                <w:sz w:val="16"/>
                <w:szCs w:val="16"/>
                <w:color w:val="auto"/>
              </w:rPr>
              <w:t>$ 179,830</w:t>
            </w: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20" w:type="dxa"/>
            <w:vAlign w:val="bottom"/>
          </w:tcPr>
          <w:p>
            <w:pPr>
              <w:ind w:left="140"/>
              <w:spacing w:after="0"/>
              <w:rPr>
                <w:sz w:val="20"/>
                <w:szCs w:val="20"/>
                <w:color w:val="auto"/>
              </w:rPr>
            </w:pPr>
            <w:r>
              <w:rPr>
                <w:rFonts w:ascii="Arial" w:cs="Arial" w:eastAsia="Arial" w:hAnsi="Arial"/>
                <w:sz w:val="16"/>
                <w:szCs w:val="16"/>
                <w:color w:val="auto"/>
              </w:rPr>
              <w:t>Australia</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11,731</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27,073</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51,976</w:t>
            </w:r>
          </w:p>
        </w:tc>
        <w:tc>
          <w:tcPr>
            <w:tcW w:w="780" w:type="dxa"/>
            <w:vAlign w:val="bottom"/>
          </w:tcPr>
          <w:p>
            <w:pPr>
              <w:jc w:val="right"/>
              <w:spacing w:after="0"/>
              <w:rPr>
                <w:sz w:val="20"/>
                <w:szCs w:val="20"/>
                <w:color w:val="auto"/>
              </w:rPr>
            </w:pPr>
            <w:r>
              <w:rPr>
                <w:rFonts w:ascii="Arial" w:cs="Arial" w:eastAsia="Arial" w:hAnsi="Arial"/>
                <w:sz w:val="16"/>
                <w:szCs w:val="16"/>
                <w:color w:val="auto"/>
              </w:rPr>
              <w:t>83,531</w:t>
            </w: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2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(977)</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3,959</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1,066</w:t>
            </w:r>
          </w:p>
        </w:tc>
        <w:tc>
          <w:tcPr>
            <w:tcW w:w="780" w:type="dxa"/>
            <w:vAlign w:val="bottom"/>
          </w:tcPr>
          <w:p>
            <w:pPr>
              <w:jc w:val="right"/>
              <w:spacing w:after="0"/>
              <w:rPr>
                <w:sz w:val="20"/>
                <w:szCs w:val="20"/>
                <w:color w:val="auto"/>
              </w:rPr>
            </w:pPr>
            <w:r>
              <w:rPr>
                <w:rFonts w:ascii="Arial" w:cs="Arial" w:eastAsia="Arial" w:hAnsi="Arial"/>
                <w:sz w:val="16"/>
                <w:szCs w:val="16"/>
                <w:color w:val="auto"/>
              </w:rPr>
              <w:t>10,850</w:t>
            </w: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220" w:type="dxa"/>
            <w:vAlign w:val="bottom"/>
          </w:tcPr>
          <w:p>
            <w:pPr>
              <w:ind w:left="140"/>
              <w:spacing w:after="0"/>
              <w:rPr>
                <w:sz w:val="20"/>
                <w:szCs w:val="20"/>
                <w:color w:val="auto"/>
              </w:rPr>
            </w:pPr>
            <w:r>
              <w:rPr>
                <w:rFonts w:ascii="Arial" w:cs="Arial" w:eastAsia="Arial" w:hAnsi="Arial"/>
                <w:sz w:val="16"/>
                <w:szCs w:val="16"/>
                <w:color w:val="auto"/>
              </w:rPr>
              <w:t>Corporate and eliminations</w:t>
            </w:r>
          </w:p>
        </w:tc>
        <w:tc>
          <w:tcPr>
            <w:tcW w:w="2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(4,900)</w:t>
            </w:r>
          </w:p>
        </w:tc>
        <w:tc>
          <w:tcPr>
            <w:tcW w:w="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(5,649)</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(15,568)</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(12,176)</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82" w:right="1440"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40" w:type="dxa"/>
            <w:vAlign w:val="bottom"/>
          </w:tcPr>
          <w:p>
            <w:pPr>
              <w:ind w:left="280"/>
              <w:spacing w:after="0"/>
              <w:rPr>
                <w:sz w:val="20"/>
                <w:szCs w:val="20"/>
                <w:color w:val="auto"/>
              </w:rPr>
            </w:pPr>
            <w:r>
              <w:rPr>
                <w:rFonts w:ascii="Arial" w:cs="Arial" w:eastAsia="Arial" w:hAnsi="Arial"/>
                <w:sz w:val="16"/>
                <w:szCs w:val="16"/>
                <w:color w:val="auto"/>
              </w:rPr>
              <w:t>Total adjusted EBITDA</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$ 25,317</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$ 92,487</w:t>
            </w:r>
          </w:p>
        </w:tc>
        <w:tc>
          <w:tcPr>
            <w:tcW w:w="900" w:type="dxa"/>
            <w:vAlign w:val="bottom"/>
          </w:tcPr>
          <w:p>
            <w:pPr>
              <w:jc w:val="right"/>
              <w:spacing w:after="0"/>
              <w:rPr>
                <w:sz w:val="20"/>
                <w:szCs w:val="20"/>
                <w:color w:val="auto"/>
              </w:rPr>
            </w:pPr>
            <w:r>
              <w:rPr>
                <w:rFonts w:ascii="Arial" w:cs="Arial" w:eastAsia="Arial" w:hAnsi="Arial"/>
                <w:sz w:val="16"/>
                <w:szCs w:val="16"/>
                <w:color w:val="auto"/>
              </w:rPr>
              <w:t>$ 118,998</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$ 262,035</w:t>
            </w: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4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40" w:type="dxa"/>
            <w:vAlign w:val="bottom"/>
          </w:tcPr>
          <w:p>
            <w:pPr>
              <w:ind w:left="140"/>
              <w:spacing w:after="0"/>
              <w:rPr>
                <w:sz w:val="20"/>
                <w:szCs w:val="20"/>
                <w:color w:val="auto"/>
              </w:rPr>
            </w:pPr>
            <w:r>
              <w:rPr>
                <w:rFonts w:ascii="Arial" w:cs="Arial" w:eastAsia="Arial" w:hAnsi="Arial"/>
                <w:sz w:val="16"/>
                <w:szCs w:val="16"/>
                <w:color w:val="auto"/>
              </w:rPr>
              <w:t>Canada</w:t>
            </w:r>
          </w:p>
        </w:tc>
        <w:tc>
          <w:tcPr>
            <w:tcW w:w="980" w:type="dxa"/>
            <w:vAlign w:val="bottom"/>
          </w:tcPr>
          <w:p>
            <w:pPr>
              <w:jc w:val="right"/>
              <w:spacing w:after="0"/>
              <w:rPr>
                <w:sz w:val="20"/>
                <w:szCs w:val="20"/>
                <w:color w:val="auto"/>
              </w:rPr>
            </w:pPr>
            <w:r>
              <w:rPr>
                <w:rFonts w:ascii="Arial" w:cs="Arial" w:eastAsia="Arial" w:hAnsi="Arial"/>
                <w:sz w:val="16"/>
                <w:szCs w:val="16"/>
                <w:color w:val="auto"/>
              </w:rPr>
              <w:t>$ (70,909)</w:t>
            </w:r>
          </w:p>
        </w:tc>
        <w:tc>
          <w:tcPr>
            <w:tcW w:w="80" w:type="dxa"/>
            <w:vAlign w:val="bottom"/>
          </w:tcPr>
          <w:p>
            <w:pPr>
              <w:spacing w:after="0"/>
              <w:rPr>
                <w:sz w:val="23"/>
                <w:szCs w:val="2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$ 43,277</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 (62,609)</w:t>
            </w:r>
          </w:p>
        </w:tc>
        <w:tc>
          <w:tcPr>
            <w:tcW w:w="780" w:type="dxa"/>
            <w:vAlign w:val="bottom"/>
          </w:tcPr>
          <w:p>
            <w:pPr>
              <w:jc w:val="right"/>
              <w:spacing w:after="0"/>
              <w:rPr>
                <w:sz w:val="20"/>
                <w:szCs w:val="20"/>
                <w:color w:val="auto"/>
              </w:rPr>
            </w:pPr>
            <w:r>
              <w:rPr>
                <w:rFonts w:ascii="Arial" w:cs="Arial" w:eastAsia="Arial" w:hAnsi="Arial"/>
                <w:sz w:val="16"/>
                <w:szCs w:val="16"/>
                <w:color w:val="auto"/>
              </w:rPr>
              <w:t>$ 110,743</w:t>
            </w:r>
          </w:p>
        </w:tc>
        <w:tc>
          <w:tcPr>
            <w:tcW w:w="0" w:type="dxa"/>
            <w:vAlign w:val="bottom"/>
          </w:tcPr>
          <w:p>
            <w:pPr>
              <w:spacing w:after="0"/>
              <w:rPr>
                <w:sz w:val="1"/>
                <w:szCs w:val="1"/>
                <w:color w:val="auto"/>
              </w:rPr>
            </w:pPr>
          </w:p>
        </w:tc>
      </w:tr>
      <w:tr>
        <w:trPr>
          <w:trHeight w:val="270"/>
        </w:trPr>
        <w:tc>
          <w:tcPr>
            <w:tcW w:w="2440" w:type="dxa"/>
            <w:vAlign w:val="bottom"/>
          </w:tcPr>
          <w:p>
            <w:pPr>
              <w:ind w:left="140"/>
              <w:spacing w:after="0"/>
              <w:rPr>
                <w:sz w:val="20"/>
                <w:szCs w:val="20"/>
                <w:color w:val="auto"/>
              </w:rPr>
            </w:pPr>
            <w:r>
              <w:rPr>
                <w:rFonts w:ascii="Arial" w:cs="Arial" w:eastAsia="Arial" w:hAnsi="Arial"/>
                <w:sz w:val="16"/>
                <w:szCs w:val="16"/>
                <w:color w:val="auto"/>
              </w:rPr>
              <w:t>Australia</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(25,995)</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10,520</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(24,150)</w:t>
            </w:r>
          </w:p>
        </w:tc>
        <w:tc>
          <w:tcPr>
            <w:tcW w:w="780" w:type="dxa"/>
            <w:vAlign w:val="bottom"/>
          </w:tcPr>
          <w:p>
            <w:pPr>
              <w:jc w:val="right"/>
              <w:spacing w:after="0"/>
              <w:rPr>
                <w:sz w:val="20"/>
                <w:szCs w:val="20"/>
                <w:color w:val="auto"/>
              </w:rPr>
            </w:pPr>
            <w:r>
              <w:rPr>
                <w:rFonts w:ascii="Arial" w:cs="Arial" w:eastAsia="Arial" w:hAnsi="Arial"/>
                <w:sz w:val="16"/>
                <w:szCs w:val="16"/>
                <w:color w:val="auto"/>
              </w:rPr>
              <w:t>26,158</w:t>
            </w:r>
          </w:p>
        </w:tc>
        <w:tc>
          <w:tcPr>
            <w:tcW w:w="0" w:type="dxa"/>
            <w:vAlign w:val="bottom"/>
          </w:tcPr>
          <w:p>
            <w:pPr>
              <w:spacing w:after="0"/>
              <w:rPr>
                <w:sz w:val="1"/>
                <w:szCs w:val="1"/>
                <w:color w:val="auto"/>
              </w:rPr>
            </w:pPr>
          </w:p>
        </w:tc>
      </w:tr>
      <w:tr>
        <w:trPr>
          <w:trHeight w:val="270"/>
        </w:trPr>
        <w:tc>
          <w:tcPr>
            <w:tcW w:w="244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(24,916)</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(1,236)</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(33,611)</w:t>
            </w:r>
          </w:p>
        </w:tc>
        <w:tc>
          <w:tcPr>
            <w:tcW w:w="780" w:type="dxa"/>
            <w:vAlign w:val="bottom"/>
          </w:tcPr>
          <w:p>
            <w:pPr>
              <w:jc w:val="right"/>
              <w:spacing w:after="0"/>
              <w:rPr>
                <w:sz w:val="20"/>
                <w:szCs w:val="20"/>
                <w:color w:val="auto"/>
              </w:rPr>
            </w:pPr>
            <w:r>
              <w:rPr>
                <w:rFonts w:ascii="Arial" w:cs="Arial" w:eastAsia="Arial" w:hAnsi="Arial"/>
                <w:sz w:val="16"/>
                <w:szCs w:val="16"/>
                <w:color w:val="auto"/>
              </w:rPr>
              <w:t>(6,664)</w:t>
            </w:r>
          </w:p>
        </w:tc>
        <w:tc>
          <w:tcPr>
            <w:tcW w:w="0" w:type="dxa"/>
            <w:vAlign w:val="bottom"/>
          </w:tcPr>
          <w:p>
            <w:pPr>
              <w:spacing w:after="0"/>
              <w:rPr>
                <w:sz w:val="1"/>
                <w:szCs w:val="1"/>
                <w:color w:val="auto"/>
              </w:rPr>
            </w:pPr>
          </w:p>
        </w:tc>
      </w:tr>
      <w:tr>
        <w:trPr>
          <w:trHeight w:val="263"/>
        </w:trPr>
        <w:tc>
          <w:tcPr>
            <w:tcW w:w="2440" w:type="dxa"/>
            <w:vAlign w:val="bottom"/>
          </w:tcPr>
          <w:p>
            <w:pPr>
              <w:ind w:left="140"/>
              <w:spacing w:after="0"/>
              <w:rPr>
                <w:sz w:val="20"/>
                <w:szCs w:val="20"/>
                <w:color w:val="auto"/>
              </w:rPr>
            </w:pPr>
            <w:r>
              <w:rPr>
                <w:rFonts w:ascii="Arial" w:cs="Arial" w:eastAsia="Arial" w:hAnsi="Arial"/>
                <w:sz w:val="16"/>
                <w:szCs w:val="16"/>
                <w:color w:val="auto"/>
              </w:rPr>
              <w:t>Corporate and eliminations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w:t>
            </w:r>
          </w:p>
        </w:tc>
        <w:tc>
          <w:tcPr>
            <w:tcW w:w="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(6,564)</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(11,731)</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(15,154)</w:t>
            </w:r>
          </w:p>
        </w:tc>
        <w:tc>
          <w:tcPr>
            <w:tcW w:w="0" w:type="dxa"/>
            <w:vAlign w:val="bottom"/>
          </w:tcPr>
          <w:p>
            <w:pPr>
              <w:spacing w:after="0"/>
              <w:rPr>
                <w:sz w:val="1"/>
                <w:szCs w:val="1"/>
                <w:color w:val="auto"/>
              </w:rPr>
            </w:pPr>
          </w:p>
        </w:tc>
      </w:tr>
      <w:tr>
        <w:trPr>
          <w:trHeight w:val="264"/>
        </w:trPr>
        <w:tc>
          <w:tcPr>
            <w:tcW w:w="2440" w:type="dxa"/>
            <w:vAlign w:val="bottom"/>
          </w:tcPr>
          <w:p>
            <w:pPr>
              <w:ind w:left="280"/>
              <w:spacing w:after="0"/>
              <w:rPr>
                <w:sz w:val="20"/>
                <w:szCs w:val="20"/>
                <w:color w:val="auto"/>
              </w:rPr>
            </w:pPr>
            <w:r>
              <w:rPr>
                <w:rFonts w:ascii="Arial" w:cs="Arial" w:eastAsia="Arial" w:hAnsi="Arial"/>
                <w:sz w:val="16"/>
                <w:szCs w:val="16"/>
                <w:color w:val="auto"/>
              </w:rPr>
              <w:t>Total operating income (loss)</w:t>
            </w:r>
          </w:p>
        </w:tc>
        <w:tc>
          <w:tcPr>
            <w:tcW w:w="980" w:type="dxa"/>
            <w:vAlign w:val="bottom"/>
          </w:tcPr>
          <w:p>
            <w:pPr>
              <w:jc w:val="right"/>
              <w:spacing w:after="0"/>
              <w:rPr>
                <w:sz w:val="20"/>
                <w:szCs w:val="20"/>
                <w:color w:val="auto"/>
              </w:rPr>
            </w:pPr>
            <w:r>
              <w:rPr>
                <w:rFonts w:ascii="Arial" w:cs="Arial" w:eastAsia="Arial" w:hAnsi="Arial"/>
                <w:sz w:val="16"/>
                <w:szCs w:val="16"/>
                <w:color w:val="auto"/>
              </w:rPr>
              <w:t>$ (122,840)</w:t>
            </w:r>
          </w:p>
        </w:tc>
        <w:tc>
          <w:tcPr>
            <w:tcW w:w="8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$ 45,997</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 (132,101)</w:t>
            </w:r>
          </w:p>
        </w:tc>
        <w:tc>
          <w:tcPr>
            <w:tcW w:w="780" w:type="dxa"/>
            <w:vAlign w:val="bottom"/>
          </w:tcPr>
          <w:p>
            <w:pPr>
              <w:jc w:val="right"/>
              <w:spacing w:after="0"/>
              <w:rPr>
                <w:sz w:val="20"/>
                <w:szCs w:val="20"/>
                <w:color w:val="auto"/>
              </w:rPr>
            </w:pPr>
            <w:r>
              <w:rPr>
                <w:rFonts w:ascii="Arial" w:cs="Arial" w:eastAsia="Arial" w:hAnsi="Arial"/>
                <w:sz w:val="16"/>
                <w:szCs w:val="16"/>
                <w:color w:val="auto"/>
              </w:rPr>
              <w:t>$ 115,083</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right="20" w:firstLine="9"/>
        <w:spacing w:after="0" w:line="248" w:lineRule="auto"/>
        <w:tabs>
          <w:tab w:leader="none" w:pos="24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term EBITDA is defined as net income plus interest, taxes, depreciation and amortization. The term Adjusted EBITDA is defined as EBITDA adjusted to exclude impairment charges and certain other costs such as those incurred associated with the Spin-Off and the migration.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The Company has included EBITDA and Adjusted EBITDA as supplemental disclosures because its management believes that EBITDA and Adjusted EBITDA provides useful information regarding our ability to service debt and to fund capital expenditures and provides investors a helpful measure for comparing its operating performance with the performance of other companies that have different financing and capital structures or tax rates. The Company uses EBITDA and Adjusted EBITDA to compare and to monitor the performance of its business segments to other comparable public companies and as a benchmark for the award of incentive compensation under its annual incentive compensation plan.</w:t>
      </w:r>
    </w:p>
    <w:p>
      <w:pPr>
        <w:spacing w:after="0" w:line="71"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The following table sets forth a reconciliation of EBITDA and Adjusted EBITDA to net income, which is the most directly comparable measure of financial performance calculated under generally accepted accounting principles (in thousands) (unaudited):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3460" w:type="dxa"/>
            <w:vAlign w:val="bottom"/>
            <w:gridSpan w:val="5"/>
          </w:tcPr>
          <w:p>
            <w:pPr>
              <w:ind w:left="740"/>
              <w:spacing w:after="0"/>
              <w:rPr>
                <w:sz w:val="20"/>
                <w:szCs w:val="20"/>
                <w:color w:val="auto"/>
              </w:rPr>
            </w:pPr>
            <w:r>
              <w:rPr>
                <w:rFonts w:ascii="Arial" w:cs="Arial" w:eastAsia="Arial" w:hAnsi="Arial"/>
                <w:sz w:val="16"/>
                <w:szCs w:val="16"/>
                <w:b w:val="1"/>
                <w:bCs w:val="1"/>
                <w:color w:val="auto"/>
              </w:rPr>
              <w:t>THREE MONTHS ENDED</w:t>
            </w:r>
          </w:p>
        </w:tc>
        <w:tc>
          <w:tcPr>
            <w:tcW w:w="312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4680" w:type="dxa"/>
            <w:vAlign w:val="bottom"/>
          </w:tcPr>
          <w:p>
            <w:pPr>
              <w:spacing w:after="0"/>
              <w:rPr>
                <w:sz w:val="18"/>
                <w:szCs w:val="18"/>
                <w:color w:val="auto"/>
              </w:rPr>
            </w:pPr>
          </w:p>
        </w:tc>
        <w:tc>
          <w:tcPr>
            <w:tcW w:w="2400" w:type="dxa"/>
            <w:vAlign w:val="bottom"/>
            <w:gridSpan w:val="3"/>
          </w:tcPr>
          <w:p>
            <w:pPr>
              <w:ind w:left="106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gridSpan w:val="3"/>
          </w:tcPr>
          <w:p>
            <w:pPr>
              <w:jc w:val="center"/>
              <w:ind w:left="8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Pr>
          <w:p>
            <w:pPr>
              <w:spacing w:after="0"/>
              <w:rPr>
                <w:sz w:val="18"/>
                <w:szCs w:val="18"/>
                <w:color w:val="auto"/>
              </w:rPr>
            </w:pPr>
          </w:p>
        </w:tc>
      </w:tr>
      <w:tr>
        <w:trPr>
          <w:trHeight w:val="263"/>
        </w:trPr>
        <w:tc>
          <w:tcPr>
            <w:tcW w:w="4680" w:type="dxa"/>
            <w:vAlign w:val="bottom"/>
          </w:tcPr>
          <w:p>
            <w:pPr>
              <w:spacing w:after="0"/>
              <w:rPr>
                <w:sz w:val="22"/>
                <w:szCs w:val="22"/>
                <w:color w:val="auto"/>
              </w:rPr>
            </w:pPr>
          </w:p>
        </w:tc>
        <w:tc>
          <w:tcPr>
            <w:tcW w:w="184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95"/>
              </w:rPr>
              <w:t>2014</w:t>
            </w:r>
          </w:p>
        </w:tc>
      </w:tr>
      <w:tr>
        <w:trPr>
          <w:trHeight w:val="541"/>
        </w:trPr>
        <w:tc>
          <w:tcPr>
            <w:tcW w:w="4680" w:type="dxa"/>
            <w:vAlign w:val="bottom"/>
          </w:tcPr>
          <w:p>
            <w:pPr>
              <w:spacing w:after="0"/>
              <w:rPr>
                <w:sz w:val="20"/>
                <w:szCs w:val="20"/>
                <w:color w:val="auto"/>
              </w:rPr>
            </w:pPr>
            <w:r>
              <w:rPr>
                <w:rFonts w:ascii="Arial" w:cs="Arial" w:eastAsia="Arial" w:hAnsi="Arial"/>
                <w:sz w:val="16"/>
                <w:szCs w:val="16"/>
                <w:color w:val="auto"/>
              </w:rPr>
              <w:t>Net income (loss)</w:t>
            </w:r>
          </w:p>
        </w:tc>
        <w:tc>
          <w:tcPr>
            <w:tcW w:w="1840" w:type="dxa"/>
            <w:vAlign w:val="bottom"/>
          </w:tcPr>
          <w:p>
            <w:pPr>
              <w:jc w:val="right"/>
              <w:spacing w:after="0"/>
              <w:rPr>
                <w:sz w:val="20"/>
                <w:szCs w:val="20"/>
                <w:color w:val="auto"/>
              </w:rPr>
            </w:pPr>
            <w:r>
              <w:rPr>
                <w:rFonts w:ascii="Arial" w:cs="Arial" w:eastAsia="Arial" w:hAnsi="Arial"/>
                <w:sz w:val="16"/>
                <w:szCs w:val="16"/>
                <w:color w:val="auto"/>
              </w:rPr>
              <w:t>$ (108,585)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$ 32,403</w:t>
            </w: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 (122,062)</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$ 82,591</w:t>
            </w:r>
          </w:p>
        </w:tc>
      </w:tr>
      <w:tr>
        <w:trPr>
          <w:trHeight w:val="270"/>
        </w:trPr>
        <w:tc>
          <w:tcPr>
            <w:tcW w:w="4680" w:type="dxa"/>
            <w:vAlign w:val="bottom"/>
          </w:tcPr>
          <w:p>
            <w:pPr>
              <w:spacing w:after="0"/>
              <w:rPr>
                <w:sz w:val="20"/>
                <w:szCs w:val="20"/>
                <w:color w:val="auto"/>
              </w:rPr>
            </w:pPr>
            <w:r>
              <w:rPr>
                <w:rFonts w:ascii="Arial" w:cs="Arial" w:eastAsia="Arial" w:hAnsi="Arial"/>
                <w:sz w:val="16"/>
                <w:szCs w:val="16"/>
                <w:color w:val="auto"/>
              </w:rPr>
              <w:t>Income tax (benefit) provision</w:t>
            </w:r>
          </w:p>
        </w:tc>
        <w:tc>
          <w:tcPr>
            <w:tcW w:w="1840" w:type="dxa"/>
            <w:vAlign w:val="bottom"/>
          </w:tcPr>
          <w:p>
            <w:pPr>
              <w:jc w:val="right"/>
              <w:spacing w:after="0"/>
              <w:rPr>
                <w:sz w:val="20"/>
                <w:szCs w:val="20"/>
                <w:color w:val="auto"/>
              </w:rPr>
            </w:pPr>
            <w:r>
              <w:rPr>
                <w:rFonts w:ascii="Arial" w:cs="Arial" w:eastAsia="Arial" w:hAnsi="Arial"/>
                <w:sz w:val="16"/>
                <w:szCs w:val="16"/>
                <w:color w:val="auto"/>
              </w:rPr>
              <w:t>(21,845)</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9,011</w:t>
            </w: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(26,551)</w:t>
            </w:r>
          </w:p>
        </w:tc>
        <w:tc>
          <w:tcPr>
            <w:tcW w:w="5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16,411</w:t>
            </w:r>
          </w:p>
        </w:tc>
      </w:tr>
      <w:tr>
        <w:trPr>
          <w:trHeight w:val="270"/>
        </w:trPr>
        <w:tc>
          <w:tcPr>
            <w:tcW w:w="46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840" w:type="dxa"/>
            <w:vAlign w:val="bottom"/>
          </w:tcPr>
          <w:p>
            <w:pPr>
              <w:jc w:val="right"/>
              <w:spacing w:after="0"/>
              <w:rPr>
                <w:sz w:val="20"/>
                <w:szCs w:val="20"/>
                <w:color w:val="auto"/>
              </w:rPr>
            </w:pPr>
            <w:r>
              <w:rPr>
                <w:rFonts w:ascii="Arial" w:cs="Arial" w:eastAsia="Arial" w:hAnsi="Arial"/>
                <w:sz w:val="16"/>
                <w:szCs w:val="16"/>
                <w:color w:val="auto"/>
              </w:rPr>
              <w:t>36,172</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45,758</w:t>
            </w: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121,159</w:t>
            </w:r>
          </w:p>
        </w:tc>
        <w:tc>
          <w:tcPr>
            <w:tcW w:w="5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127,770</w:t>
            </w:r>
          </w:p>
        </w:tc>
      </w:tr>
      <w:tr>
        <w:trPr>
          <w:trHeight w:val="270"/>
        </w:trPr>
        <w:tc>
          <w:tcPr>
            <w:tcW w:w="4680" w:type="dxa"/>
            <w:vAlign w:val="bottom"/>
          </w:tcPr>
          <w:p>
            <w:pPr>
              <w:spacing w:after="0"/>
              <w:rPr>
                <w:sz w:val="20"/>
                <w:szCs w:val="20"/>
                <w:color w:val="auto"/>
              </w:rPr>
            </w:pPr>
            <w:r>
              <w:rPr>
                <w:rFonts w:ascii="Arial" w:cs="Arial" w:eastAsia="Arial" w:hAnsi="Arial"/>
                <w:sz w:val="16"/>
                <w:szCs w:val="16"/>
                <w:color w:val="auto"/>
              </w:rPr>
              <w:t>Interest income</w:t>
            </w:r>
          </w:p>
        </w:tc>
        <w:tc>
          <w:tcPr>
            <w:tcW w:w="1840" w:type="dxa"/>
            <w:vAlign w:val="bottom"/>
          </w:tcPr>
          <w:p>
            <w:pPr>
              <w:jc w:val="right"/>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(1,048)</w:t>
            </w: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(1,969)</w:t>
            </w:r>
          </w:p>
        </w:tc>
        <w:tc>
          <w:tcPr>
            <w:tcW w:w="5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(2,841)</w:t>
            </w:r>
          </w:p>
        </w:tc>
      </w:tr>
      <w:tr>
        <w:trPr>
          <w:trHeight w:val="263"/>
        </w:trPr>
        <w:tc>
          <w:tcPr>
            <w:tcW w:w="4680" w:type="dxa"/>
            <w:vAlign w:val="bottom"/>
          </w:tcPr>
          <w:p>
            <w:pPr>
              <w:spacing w:after="0"/>
              <w:rPr>
                <w:sz w:val="20"/>
                <w:szCs w:val="20"/>
                <w:color w:val="auto"/>
              </w:rPr>
            </w:pPr>
            <w:r>
              <w:rPr>
                <w:rFonts w:ascii="Arial" w:cs="Arial" w:eastAsia="Arial" w:hAnsi="Arial"/>
                <w:sz w:val="16"/>
                <w:szCs w:val="16"/>
                <w:color w:val="auto"/>
              </w:rPr>
              <w:t>Interest expense</w:t>
            </w:r>
          </w:p>
        </w:tc>
        <w:tc>
          <w:tcPr>
            <w:tcW w:w="1840" w:type="dxa"/>
            <w:vAlign w:val="bottom"/>
          </w:tcPr>
          <w:p>
            <w:pPr>
              <w:jc w:val="right"/>
              <w:spacing w:after="0"/>
              <w:rPr>
                <w:sz w:val="20"/>
                <w:szCs w:val="20"/>
                <w:color w:val="auto"/>
              </w:rPr>
            </w:pPr>
            <w:r>
              <w:rPr>
                <w:rFonts w:ascii="Arial" w:cs="Arial" w:eastAsia="Arial" w:hAnsi="Arial"/>
                <w:sz w:val="16"/>
                <w:szCs w:val="16"/>
                <w:color w:val="auto"/>
              </w:rPr>
              <w:t>7,496</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5,335</w:t>
            </w:r>
          </w:p>
        </w:tc>
        <w:tc>
          <w:tcPr>
            <w:tcW w:w="80" w:type="dxa"/>
            <w:vAlign w:val="bottom"/>
          </w:tcPr>
          <w:p>
            <w:pPr>
              <w:spacing w:after="0"/>
              <w:rPr>
                <w:sz w:val="22"/>
                <w:szCs w:val="22"/>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19,353</w:t>
            </w:r>
          </w:p>
        </w:tc>
        <w:tc>
          <w:tcPr>
            <w:tcW w:w="5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18,880</w:t>
            </w:r>
          </w:p>
        </w:tc>
      </w:tr>
      <w:tr>
        <w:trPr>
          <w:trHeight w:val="20"/>
        </w:trPr>
        <w:tc>
          <w:tcPr>
            <w:tcW w:w="46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64"/>
        </w:trPr>
        <w:tc>
          <w:tcPr>
            <w:tcW w:w="4680" w:type="dxa"/>
            <w:vAlign w:val="bottom"/>
          </w:tcPr>
          <w:p>
            <w:pPr>
              <w:ind w:left="140"/>
              <w:spacing w:after="0"/>
              <w:rPr>
                <w:sz w:val="20"/>
                <w:szCs w:val="20"/>
                <w:color w:val="auto"/>
              </w:rPr>
            </w:pPr>
            <w:r>
              <w:rPr>
                <w:rFonts w:ascii="Arial" w:cs="Arial" w:eastAsia="Arial" w:hAnsi="Arial"/>
                <w:sz w:val="16"/>
                <w:szCs w:val="16"/>
                <w:color w:val="auto"/>
              </w:rPr>
              <w:t>EBITDA</w:t>
            </w:r>
          </w:p>
        </w:tc>
        <w:tc>
          <w:tcPr>
            <w:tcW w:w="1840" w:type="dxa"/>
            <w:vAlign w:val="bottom"/>
          </w:tcPr>
          <w:p>
            <w:pPr>
              <w:jc w:val="right"/>
              <w:spacing w:after="0"/>
              <w:rPr>
                <w:sz w:val="20"/>
                <w:szCs w:val="20"/>
                <w:color w:val="auto"/>
              </w:rPr>
            </w:pPr>
            <w:r>
              <w:rPr>
                <w:rFonts w:ascii="Arial" w:cs="Arial" w:eastAsia="Arial" w:hAnsi="Arial"/>
                <w:sz w:val="16"/>
                <w:szCs w:val="16"/>
                <w:color w:val="auto"/>
              </w:rPr>
              <w:t>$ (86,922)</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$ 91,459</w:t>
            </w:r>
          </w:p>
        </w:tc>
        <w:tc>
          <w:tcPr>
            <w:tcW w:w="80" w:type="dxa"/>
            <w:vAlign w:val="bottom"/>
          </w:tcPr>
          <w:p>
            <w:pPr>
              <w:spacing w:after="0"/>
              <w:rPr>
                <w:sz w:val="22"/>
                <w:szCs w:val="22"/>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 (10,070)</w:t>
            </w:r>
          </w:p>
        </w:tc>
        <w:tc>
          <w:tcPr>
            <w:tcW w:w="5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$ 242,811</w:t>
            </w:r>
          </w:p>
        </w:tc>
      </w:tr>
      <w:tr>
        <w:trPr>
          <w:trHeight w:val="271"/>
        </w:trPr>
        <w:tc>
          <w:tcPr>
            <w:tcW w:w="4680" w:type="dxa"/>
            <w:vAlign w:val="bottom"/>
          </w:tcPr>
          <w:p>
            <w:pPr>
              <w:spacing w:after="0"/>
              <w:rPr>
                <w:sz w:val="20"/>
                <w:szCs w:val="20"/>
                <w:color w:val="auto"/>
              </w:rPr>
            </w:pPr>
            <w:r>
              <w:rPr>
                <w:rFonts w:ascii="Arial" w:cs="Arial" w:eastAsia="Arial" w:hAnsi="Arial"/>
                <w:sz w:val="16"/>
                <w:szCs w:val="16"/>
                <w:color w:val="auto"/>
              </w:rPr>
              <w:t>Adjustments to EBITDA</w:t>
            </w:r>
          </w:p>
        </w:tc>
        <w:tc>
          <w:tcPr>
            <w:tcW w:w="18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r>
      <w:tr>
        <w:trPr>
          <w:trHeight w:val="270"/>
        </w:trPr>
        <w:tc>
          <w:tcPr>
            <w:tcW w:w="4680" w:type="dxa"/>
            <w:vAlign w:val="bottom"/>
          </w:tcPr>
          <w:p>
            <w:pPr>
              <w:ind w:left="140"/>
              <w:spacing w:after="0"/>
              <w:rPr>
                <w:sz w:val="20"/>
                <w:szCs w:val="20"/>
                <w:color w:val="auto"/>
              </w:rPr>
            </w:pPr>
            <w:r>
              <w:rPr>
                <w:rFonts w:ascii="Arial" w:cs="Arial" w:eastAsia="Arial" w:hAnsi="Arial"/>
                <w:sz w:val="16"/>
                <w:szCs w:val="16"/>
                <w:color w:val="auto"/>
              </w:rPr>
              <w:t>Impairment of intangible asset (a)</w:t>
            </w:r>
          </w:p>
        </w:tc>
        <w:tc>
          <w:tcPr>
            <w:tcW w:w="1840" w:type="dxa"/>
            <w:vAlign w:val="bottom"/>
          </w:tcPr>
          <w:p>
            <w:pPr>
              <w:jc w:val="right"/>
              <w:spacing w:after="0"/>
              <w:rPr>
                <w:sz w:val="20"/>
                <w:szCs w:val="20"/>
                <w:color w:val="auto"/>
              </w:rPr>
            </w:pPr>
            <w:r>
              <w:rPr>
                <w:rFonts w:ascii="Arial" w:cs="Arial" w:eastAsia="Arial" w:hAnsi="Arial"/>
                <w:sz w:val="16"/>
                <w:szCs w:val="16"/>
                <w:color w:val="auto"/>
              </w:rPr>
              <w:t>2,460</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2,460</w:t>
            </w:r>
          </w:p>
        </w:tc>
        <w:tc>
          <w:tcPr>
            <w:tcW w:w="5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8,989</w:t>
            </w:r>
          </w:p>
        </w:tc>
      </w:tr>
      <w:tr>
        <w:trPr>
          <w:trHeight w:val="270"/>
        </w:trPr>
        <w:tc>
          <w:tcPr>
            <w:tcW w:w="4680" w:type="dxa"/>
            <w:vAlign w:val="bottom"/>
          </w:tcPr>
          <w:p>
            <w:pPr>
              <w:ind w:left="140"/>
              <w:spacing w:after="0"/>
              <w:rPr>
                <w:sz w:val="20"/>
                <w:szCs w:val="20"/>
                <w:color w:val="auto"/>
              </w:rPr>
            </w:pPr>
            <w:r>
              <w:rPr>
                <w:rFonts w:ascii="Arial" w:cs="Arial" w:eastAsia="Arial" w:hAnsi="Arial"/>
                <w:sz w:val="16"/>
                <w:szCs w:val="16"/>
                <w:color w:val="auto"/>
              </w:rPr>
              <w:t>Impairment of fixed assets (b)</w:t>
            </w:r>
          </w:p>
        </w:tc>
        <w:tc>
          <w:tcPr>
            <w:tcW w:w="1840" w:type="dxa"/>
            <w:vAlign w:val="bottom"/>
          </w:tcPr>
          <w:p>
            <w:pPr>
              <w:jc w:val="right"/>
              <w:spacing w:after="0"/>
              <w:rPr>
                <w:sz w:val="20"/>
                <w:szCs w:val="20"/>
                <w:color w:val="auto"/>
              </w:rPr>
            </w:pPr>
            <w:r>
              <w:rPr>
                <w:rFonts w:ascii="Arial" w:cs="Arial" w:eastAsia="Arial" w:hAnsi="Arial"/>
                <w:sz w:val="16"/>
                <w:szCs w:val="16"/>
                <w:color w:val="auto"/>
              </w:rPr>
              <w:t>65,061</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74,534</w:t>
            </w:r>
          </w:p>
        </w:tc>
        <w:tc>
          <w:tcPr>
            <w:tcW w:w="5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2,621</w:t>
            </w:r>
          </w:p>
        </w:tc>
      </w:tr>
      <w:tr>
        <w:trPr>
          <w:trHeight w:val="270"/>
        </w:trPr>
        <w:tc>
          <w:tcPr>
            <w:tcW w:w="4680" w:type="dxa"/>
            <w:vAlign w:val="bottom"/>
          </w:tcPr>
          <w:p>
            <w:pPr>
              <w:ind w:left="140"/>
              <w:spacing w:after="0"/>
              <w:rPr>
                <w:sz w:val="20"/>
                <w:szCs w:val="20"/>
                <w:color w:val="auto"/>
              </w:rPr>
            </w:pPr>
            <w:r>
              <w:rPr>
                <w:rFonts w:ascii="Arial" w:cs="Arial" w:eastAsia="Arial" w:hAnsi="Arial"/>
                <w:sz w:val="16"/>
                <w:szCs w:val="16"/>
                <w:color w:val="auto"/>
              </w:rPr>
              <w:t>Impairment of goodwill (c)</w:t>
            </w:r>
          </w:p>
        </w:tc>
        <w:tc>
          <w:tcPr>
            <w:tcW w:w="1840" w:type="dxa"/>
            <w:vAlign w:val="bottom"/>
          </w:tcPr>
          <w:p>
            <w:pPr>
              <w:jc w:val="right"/>
              <w:spacing w:after="0"/>
              <w:rPr>
                <w:sz w:val="20"/>
                <w:szCs w:val="20"/>
                <w:color w:val="auto"/>
              </w:rPr>
            </w:pPr>
            <w:r>
              <w:rPr>
                <w:rFonts w:ascii="Arial" w:cs="Arial" w:eastAsia="Arial" w:hAnsi="Arial"/>
                <w:sz w:val="16"/>
                <w:szCs w:val="16"/>
                <w:color w:val="auto"/>
              </w:rPr>
              <w:t>43,194</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43,194</w:t>
            </w:r>
          </w:p>
        </w:tc>
        <w:tc>
          <w:tcPr>
            <w:tcW w:w="5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4680" w:type="dxa"/>
            <w:vAlign w:val="bottom"/>
          </w:tcPr>
          <w:p>
            <w:pPr>
              <w:ind w:left="140"/>
              <w:spacing w:after="0"/>
              <w:rPr>
                <w:sz w:val="20"/>
                <w:szCs w:val="20"/>
                <w:color w:val="auto"/>
              </w:rPr>
            </w:pPr>
            <w:r>
              <w:rPr>
                <w:rFonts w:ascii="Arial" w:cs="Arial" w:eastAsia="Arial" w:hAnsi="Arial"/>
                <w:sz w:val="16"/>
                <w:szCs w:val="16"/>
                <w:color w:val="auto"/>
              </w:rPr>
              <w:t>Severance costs (d)</w:t>
            </w:r>
          </w:p>
        </w:tc>
        <w:tc>
          <w:tcPr>
            <w:tcW w:w="1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4,117</w:t>
            </w:r>
          </w:p>
        </w:tc>
      </w:tr>
      <w:tr>
        <w:trPr>
          <w:trHeight w:val="270"/>
        </w:trPr>
        <w:tc>
          <w:tcPr>
            <w:tcW w:w="4680" w:type="dxa"/>
            <w:vAlign w:val="bottom"/>
          </w:tcPr>
          <w:p>
            <w:pPr>
              <w:ind w:left="140"/>
              <w:spacing w:after="0"/>
              <w:rPr>
                <w:sz w:val="20"/>
                <w:szCs w:val="20"/>
                <w:color w:val="auto"/>
              </w:rPr>
            </w:pPr>
            <w:r>
              <w:rPr>
                <w:rFonts w:ascii="Arial" w:cs="Arial" w:eastAsia="Arial" w:hAnsi="Arial"/>
                <w:sz w:val="16"/>
                <w:szCs w:val="16"/>
                <w:color w:val="auto"/>
              </w:rPr>
              <w:t>Transition costs (e)</w:t>
            </w:r>
          </w:p>
        </w:tc>
        <w:tc>
          <w:tcPr>
            <w:tcW w:w="1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1,028</w:t>
            </w: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3,497</w:t>
            </w:r>
          </w:p>
        </w:tc>
      </w:tr>
      <w:tr>
        <w:trPr>
          <w:trHeight w:val="270"/>
        </w:trPr>
        <w:tc>
          <w:tcPr>
            <w:tcW w:w="4680" w:type="dxa"/>
            <w:vAlign w:val="bottom"/>
          </w:tcPr>
          <w:p>
            <w:pPr>
              <w:ind w:left="140"/>
              <w:spacing w:after="0"/>
              <w:rPr>
                <w:sz w:val="20"/>
                <w:szCs w:val="20"/>
                <w:color w:val="auto"/>
              </w:rPr>
            </w:pPr>
            <w:r>
              <w:rPr>
                <w:rFonts w:ascii="Arial" w:cs="Arial" w:eastAsia="Arial" w:hAnsi="Arial"/>
                <w:sz w:val="16"/>
                <w:szCs w:val="16"/>
                <w:color w:val="auto"/>
              </w:rPr>
              <w:t>Migration costs (f)</w:t>
            </w:r>
          </w:p>
        </w:tc>
        <w:tc>
          <w:tcPr>
            <w:tcW w:w="1840" w:type="dxa"/>
            <w:vAlign w:val="bottom"/>
          </w:tcPr>
          <w:p>
            <w:pPr>
              <w:jc w:val="right"/>
              <w:spacing w:after="0"/>
              <w:rPr>
                <w:sz w:val="20"/>
                <w:szCs w:val="20"/>
                <w:color w:val="auto"/>
              </w:rPr>
            </w:pPr>
            <w:r>
              <w:rPr>
                <w:rFonts w:ascii="Arial" w:cs="Arial" w:eastAsia="Arial" w:hAnsi="Arial"/>
                <w:sz w:val="16"/>
                <w:szCs w:val="16"/>
                <w:color w:val="auto"/>
              </w:rPr>
              <w:t>1,524</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5,127</w:t>
            </w:r>
          </w:p>
        </w:tc>
        <w:tc>
          <w:tcPr>
            <w:tcW w:w="5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63"/>
        </w:trPr>
        <w:tc>
          <w:tcPr>
            <w:tcW w:w="4680" w:type="dxa"/>
            <w:vAlign w:val="bottom"/>
          </w:tcPr>
          <w:p>
            <w:pPr>
              <w:ind w:left="140"/>
              <w:spacing w:after="0"/>
              <w:rPr>
                <w:sz w:val="20"/>
                <w:szCs w:val="20"/>
                <w:color w:val="auto"/>
              </w:rPr>
            </w:pPr>
            <w:r>
              <w:rPr>
                <w:rFonts w:ascii="Arial" w:cs="Arial" w:eastAsia="Arial" w:hAnsi="Arial"/>
                <w:sz w:val="16"/>
                <w:szCs w:val="16"/>
                <w:color w:val="auto"/>
              </w:rPr>
              <w:t>Loss on assets held for sale (g)</w:t>
            </w:r>
          </w:p>
        </w:tc>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3,753</w:t>
            </w: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4"/>
        </w:trPr>
        <w:tc>
          <w:tcPr>
            <w:tcW w:w="4680" w:type="dxa"/>
            <w:vAlign w:val="bottom"/>
          </w:tcPr>
          <w:p>
            <w:pPr>
              <w:ind w:left="280"/>
              <w:spacing w:after="0"/>
              <w:rPr>
                <w:sz w:val="20"/>
                <w:szCs w:val="20"/>
                <w:color w:val="auto"/>
              </w:rPr>
            </w:pPr>
            <w:r>
              <w:rPr>
                <w:rFonts w:ascii="Arial" w:cs="Arial" w:eastAsia="Arial" w:hAnsi="Arial"/>
                <w:sz w:val="16"/>
                <w:szCs w:val="16"/>
                <w:color w:val="auto"/>
              </w:rPr>
              <w:t>Adjusted EBITDA</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$ 25,317</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$ 92,487</w:t>
            </w: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$ 118,998</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$ 262,035</w:t>
            </w:r>
          </w:p>
        </w:tc>
      </w:tr>
      <w:tr>
        <w:trPr>
          <w:trHeight w:val="20"/>
        </w:trPr>
        <w:tc>
          <w:tcPr>
            <w:tcW w:w="46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right="80" w:firstLine="9"/>
        <w:spacing w:after="0" w:line="249" w:lineRule="auto"/>
        <w:tabs>
          <w:tab w:leader="none" w:pos="243" w:val="left"/>
        </w:tabs>
        <w:numPr>
          <w:ilvl w:val="0"/>
          <w:numId w:val="5"/>
        </w:numPr>
        <w:rPr>
          <w:rFonts w:ascii="Arial" w:cs="Arial" w:eastAsia="Arial" w:hAnsi="Arial"/>
          <w:sz w:val="16"/>
          <w:szCs w:val="16"/>
          <w:color w:val="auto"/>
        </w:rPr>
      </w:pPr>
      <w:r>
        <w:rPr>
          <w:rFonts w:ascii="Arial" w:cs="Arial" w:eastAsia="Arial" w:hAnsi="Arial"/>
          <w:sz w:val="16"/>
          <w:szCs w:val="16"/>
          <w:color w:val="auto"/>
        </w:rPr>
        <w:t>2015 relates to the impairment of an intangible asset in the U.S. The U.S. intangible impairment resulted from an assessment of the carrying value of our long-lived assets, which evaluation included amortizable intangible assets. The $2.5 million impairment ($1.6 million after-tax, or $0.01 per diluted share), which is related to our U.S. segment, is included in Impairment expense on the unaudited statements of operations. 2014 relates to the impairment of an intangible asset in Australia. Due to the Spin-Off, and the resulting rebranding of the Company's Australian operations from The Mac to Civeo Australia, it was determined that the fair value of an intangible asset associated with The Mac brand was zero. The $9.0 million impairment ($6.3 million after-tax, or $0.06 per diluted share), which is related to our Australia segment, is included in Impairment expense on the unaudited statements of operations.</w:t>
      </w:r>
    </w:p>
    <w:p>
      <w:pPr>
        <w:spacing w:after="0" w:line="340" w:lineRule="exact"/>
        <w:rPr>
          <w:rFonts w:ascii="Arial" w:cs="Arial" w:eastAsia="Arial" w:hAnsi="Arial"/>
          <w:sz w:val="16"/>
          <w:szCs w:val="16"/>
          <w:color w:val="auto"/>
        </w:rPr>
      </w:pPr>
    </w:p>
    <w:p>
      <w:pPr>
        <w:ind w:left="260" w:hanging="251"/>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2015 relates to the impairment of certain fixed assets which carrying value we have determined to not to be recoverable. The $65.1 million impairment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($45.3 million after-tax, or $0.43 per diluted share) for the quarter ended September 30, 2015 and the $74.5 million impairment ($54.4 million after-tax, or</w:t>
      </w:r>
    </w:p>
    <w:p>
      <w:pPr>
        <w:spacing w:after="0" w:line="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$0.51 per diluted share) for the nine months ended September 30, 2015 is included in Impairment expense on the unaudited statements of operations. 2014 relates to the impairment of certain fixed assets which are not in our custody, and for which return has been determined to be uncertain. The $2.6 million impairment ($1.7 million after-tax, or $0.02 per diluted share), which is related to our U.S. segment, is included in Impairment expense on the unaudited statements of operations.</w:t>
      </w:r>
    </w:p>
    <w:p>
      <w:pPr>
        <w:spacing w:after="0" w:line="338" w:lineRule="exact"/>
        <w:rPr>
          <w:sz w:val="20"/>
          <w:szCs w:val="20"/>
          <w:color w:val="auto"/>
        </w:rPr>
      </w:pPr>
    </w:p>
    <w:p>
      <w:pPr>
        <w:ind w:right="140" w:firstLine="9"/>
        <w:spacing w:after="0" w:line="260" w:lineRule="auto"/>
        <w:tabs>
          <w:tab w:leader="none" w:pos="234"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the impairment of goodwill. The $43.2 million impairment ($43.2 million after-tax, or $0.40 per diluted share), which is related to our Canadian segment, is included in Impairment expense on the unaudited statements of operations.</w:t>
      </w:r>
    </w:p>
    <w:p>
      <w:pPr>
        <w:spacing w:after="0" w:line="330" w:lineRule="exact"/>
        <w:rPr>
          <w:rFonts w:ascii="Arial" w:cs="Arial" w:eastAsia="Arial" w:hAnsi="Arial"/>
          <w:sz w:val="16"/>
          <w:szCs w:val="16"/>
          <w:color w:val="auto"/>
        </w:rPr>
      </w:pPr>
    </w:p>
    <w:p>
      <w:pPr>
        <w:ind w:right="180" w:firstLine="9"/>
        <w:spacing w:after="0" w:line="260"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severance costs associated with the termination of an executive. The $4.1 million expense ($3.1 million after-tax, or $0.03 per diluted share), which is related to our Canadian segment, is included in Selling, general and administrative expenses on the unaudited statements of operations.</w:t>
      </w:r>
    </w:p>
    <w:p>
      <w:pPr>
        <w:spacing w:after="0" w:line="330" w:lineRule="exact"/>
        <w:rPr>
          <w:rFonts w:ascii="Arial" w:cs="Arial" w:eastAsia="Arial" w:hAnsi="Arial"/>
          <w:sz w:val="16"/>
          <w:szCs w:val="16"/>
          <w:color w:val="auto"/>
        </w:rPr>
      </w:pPr>
    </w:p>
    <w:p>
      <w:pPr>
        <w:ind w:right="300" w:firstLine="9"/>
        <w:spacing w:after="0" w:line="253"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transition costs incurred associated with becoming a stand-alone company. The $1.0 million and $3.5 million in costs ($0.7 million and $2.3 million,respectively, after-tax, or $0.01 and $0.02, respectively, per diluted share), which are primarily corporate in nature, are included in Spin-off and formation costs on the unaudited statements of operations.</w:t>
      </w:r>
    </w:p>
    <w:p>
      <w:pPr>
        <w:spacing w:after="0" w:line="336" w:lineRule="exact"/>
        <w:rPr>
          <w:rFonts w:ascii="Arial" w:cs="Arial" w:eastAsia="Arial" w:hAnsi="Arial"/>
          <w:sz w:val="16"/>
          <w:szCs w:val="16"/>
          <w:color w:val="auto"/>
        </w:rPr>
      </w:pPr>
    </w:p>
    <w:p>
      <w:pPr>
        <w:ind w:right="280" w:firstLine="9"/>
        <w:spacing w:after="0" w:line="260" w:lineRule="auto"/>
        <w:tabs>
          <w:tab w:leader="none" w:pos="198"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costs incurred associated with the Company's redomiciliation to Canada. The $1.5 million and $5.1 million in costs ($1.0 million and $3.4 million, respectively, after-tax, or $0.01 and $0.04, respectively, per diluted share), which are primarily corporate in nature, are included in Selling, general</w:t>
      </w:r>
    </w:p>
    <w:p>
      <w:pPr>
        <w:sectPr>
          <w:pgSz w:w="11900" w:h="16838" w:orient="portrait"/>
          <w:cols w:equalWidth="0" w:num="1">
            <w:col w:w="11260"/>
          </w:cols>
          <w:pgMar w:left="320" w:top="141" w:right="319" w:bottom="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and administrative costs on the unaudited statements of operations.</w:t>
      </w:r>
    </w:p>
    <w:p>
      <w:pPr>
        <w:spacing w:after="0" w:line="356" w:lineRule="exact"/>
        <w:rPr>
          <w:sz w:val="20"/>
          <w:szCs w:val="20"/>
          <w:color w:val="auto"/>
        </w:rPr>
      </w:pPr>
    </w:p>
    <w:p>
      <w:pPr>
        <w:ind w:right="220" w:firstLine="9"/>
        <w:spacing w:after="0" w:line="253" w:lineRule="auto"/>
        <w:tabs>
          <w:tab w:leader="none" w:pos="243" w:val="left"/>
        </w:tabs>
        <w:numPr>
          <w:ilvl w:val="0"/>
          <w:numId w:val="7"/>
        </w:numPr>
        <w:rPr>
          <w:rFonts w:ascii="Arial" w:cs="Arial" w:eastAsia="Arial" w:hAnsi="Arial"/>
          <w:sz w:val="16"/>
          <w:szCs w:val="16"/>
          <w:color w:val="auto"/>
        </w:rPr>
      </w:pPr>
      <w:r>
        <w:rPr>
          <w:rFonts w:ascii="Arial" w:cs="Arial" w:eastAsia="Arial" w:hAnsi="Arial"/>
          <w:sz w:val="16"/>
          <w:szCs w:val="16"/>
          <w:color w:val="auto"/>
        </w:rPr>
        <w:t>Relates to the first quarter 2015 decision to close a manufacturing facility in the United States. As a result, the related assets were written down to their estimated sales proceeds, less costs to sell. We recorded a pre-tax loss of $3.8 million ($2.4 million after-tax, or $0.02 per diluted share), of which $1.1 million is included in Cost of sales and services and $2.7 million is included in Impairment expense on the unaudited statements of operations.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 dollars in thousands, except for room counts, RevPAR and average daily rate)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8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258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5840" w:type="dxa"/>
            <w:vAlign w:val="bottom"/>
          </w:tcPr>
          <w:p>
            <w:pPr>
              <w:spacing w:after="0"/>
              <w:rPr>
                <w:sz w:val="18"/>
                <w:szCs w:val="18"/>
                <w:color w:val="auto"/>
              </w:rPr>
            </w:pPr>
          </w:p>
        </w:tc>
        <w:tc>
          <w:tcPr>
            <w:tcW w:w="28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SEPTEMBER 30,</w:t>
            </w:r>
          </w:p>
        </w:tc>
        <w:tc>
          <w:tcPr>
            <w:tcW w:w="258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SEPTEMBER 30,</w:t>
            </w:r>
          </w:p>
        </w:tc>
      </w:tr>
      <w:tr>
        <w:trPr>
          <w:trHeight w:val="263"/>
        </w:trPr>
        <w:tc>
          <w:tcPr>
            <w:tcW w:w="5840" w:type="dxa"/>
            <w:vAlign w:val="bottom"/>
          </w:tcPr>
          <w:p>
            <w:pPr>
              <w:spacing w:after="0"/>
              <w:rPr>
                <w:sz w:val="22"/>
                <w:szCs w:val="22"/>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541"/>
        </w:trPr>
        <w:tc>
          <w:tcPr>
            <w:tcW w:w="584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 Segment</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5840" w:type="dxa"/>
            <w:vAlign w:val="bottom"/>
          </w:tcPr>
          <w:p>
            <w:pPr>
              <w:ind w:left="140"/>
              <w:spacing w:after="0"/>
              <w:rPr>
                <w:sz w:val="20"/>
                <w:szCs w:val="20"/>
                <w:color w:val="auto"/>
              </w:rPr>
            </w:pPr>
            <w:r>
              <w:rPr>
                <w:rFonts w:ascii="Arial" w:cs="Arial" w:eastAsia="Arial" w:hAnsi="Arial"/>
                <w:sz w:val="16"/>
                <w:szCs w:val="16"/>
                <w:color w:val="auto"/>
              </w:rPr>
              <w:t>Revenues</w:t>
            </w: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840" w:type="dxa"/>
            <w:vAlign w:val="bottom"/>
          </w:tcPr>
          <w:p>
            <w:pPr>
              <w:ind w:left="280"/>
              <w:spacing w:after="0"/>
              <w:rPr>
                <w:sz w:val="20"/>
                <w:szCs w:val="20"/>
                <w:color w:val="auto"/>
              </w:rPr>
            </w:pPr>
            <w:r>
              <w:rPr>
                <w:rFonts w:ascii="Arial" w:cs="Arial" w:eastAsia="Arial" w:hAnsi="Arial"/>
                <w:sz w:val="16"/>
                <w:szCs w:val="16"/>
                <w:color w:val="auto"/>
              </w:rPr>
              <w:t>Lodge revenues (1)</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$ 55,708</w:t>
            </w: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$ 134,600</w:t>
            </w:r>
          </w:p>
        </w:tc>
        <w:tc>
          <w:tcPr>
            <w:tcW w:w="1240" w:type="dxa"/>
            <w:vAlign w:val="bottom"/>
          </w:tcPr>
          <w:p>
            <w:pPr>
              <w:jc w:val="right"/>
              <w:spacing w:after="0"/>
              <w:rPr>
                <w:sz w:val="20"/>
                <w:szCs w:val="20"/>
                <w:color w:val="auto"/>
              </w:rPr>
            </w:pPr>
            <w:r>
              <w:rPr>
                <w:rFonts w:ascii="Arial" w:cs="Arial" w:eastAsia="Arial" w:hAnsi="Arial"/>
                <w:sz w:val="16"/>
                <w:szCs w:val="16"/>
                <w:color w:val="auto"/>
              </w:rPr>
              <w:t>$ 213,896</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$ 379,700</w:t>
            </w:r>
          </w:p>
        </w:tc>
      </w:tr>
      <w:tr>
        <w:trPr>
          <w:trHeight w:val="263"/>
        </w:trPr>
        <w:tc>
          <w:tcPr>
            <w:tcW w:w="5840" w:type="dxa"/>
            <w:vAlign w:val="bottom"/>
          </w:tcPr>
          <w:p>
            <w:pPr>
              <w:ind w:left="280"/>
              <w:spacing w:after="0"/>
              <w:rPr>
                <w:sz w:val="20"/>
                <w:szCs w:val="20"/>
                <w:color w:val="auto"/>
              </w:rPr>
            </w:pPr>
            <w:r>
              <w:rPr>
                <w:rFonts w:ascii="Arial" w:cs="Arial" w:eastAsia="Arial" w:hAnsi="Arial"/>
                <w:sz w:val="16"/>
                <w:szCs w:val="16"/>
                <w:color w:val="auto"/>
              </w:rPr>
              <w:t>Mobile, open camp and product revenues</w:t>
            </w:r>
          </w:p>
        </w:tc>
        <w:tc>
          <w:tcPr>
            <w:tcW w:w="1280" w:type="dxa"/>
            <w:vAlign w:val="bottom"/>
          </w:tcPr>
          <w:p>
            <w:pPr>
              <w:jc w:val="right"/>
              <w:spacing w:after="0"/>
              <w:rPr>
                <w:sz w:val="20"/>
                <w:szCs w:val="20"/>
                <w:color w:val="auto"/>
              </w:rPr>
            </w:pPr>
            <w:r>
              <w:rPr>
                <w:rFonts w:ascii="Arial" w:cs="Arial" w:eastAsia="Arial" w:hAnsi="Arial"/>
                <w:sz w:val="16"/>
                <w:szCs w:val="16"/>
                <w:color w:val="auto"/>
              </w:rPr>
              <w:t>15,792</w:t>
            </w:r>
          </w:p>
        </w:tc>
        <w:tc>
          <w:tcPr>
            <w:tcW w:w="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39,511</w:t>
            </w:r>
          </w:p>
        </w:tc>
        <w:tc>
          <w:tcPr>
            <w:tcW w:w="80" w:type="dxa"/>
            <w:vAlign w:val="bottom"/>
          </w:tcPr>
          <w:p>
            <w:pPr>
              <w:spacing w:after="0"/>
              <w:rPr>
                <w:sz w:val="22"/>
                <w:szCs w:val="2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64,576</w:t>
            </w:r>
          </w:p>
        </w:tc>
        <w:tc>
          <w:tcPr>
            <w:tcW w:w="1260" w:type="dxa"/>
            <w:vAlign w:val="bottom"/>
          </w:tcPr>
          <w:p>
            <w:pPr>
              <w:jc w:val="right"/>
              <w:spacing w:after="0"/>
              <w:rPr>
                <w:sz w:val="20"/>
                <w:szCs w:val="20"/>
                <w:color w:val="auto"/>
              </w:rPr>
            </w:pPr>
            <w:r>
              <w:rPr>
                <w:rFonts w:ascii="Arial" w:cs="Arial" w:eastAsia="Arial" w:hAnsi="Arial"/>
                <w:sz w:val="16"/>
                <w:szCs w:val="16"/>
                <w:color w:val="auto"/>
              </w:rPr>
              <w:t>131,214</w:t>
            </w:r>
          </w:p>
        </w:tc>
      </w:tr>
      <w:tr>
        <w:trPr>
          <w:trHeight w:val="271"/>
        </w:trPr>
        <w:tc>
          <w:tcPr>
            <w:tcW w:w="5840" w:type="dxa"/>
            <w:vAlign w:val="bottom"/>
          </w:tcPr>
          <w:p>
            <w:pPr>
              <w:ind w:left="420"/>
              <w:spacing w:after="0"/>
              <w:rPr>
                <w:sz w:val="20"/>
                <w:szCs w:val="20"/>
                <w:color w:val="auto"/>
              </w:rPr>
            </w:pPr>
            <w:r>
              <w:rPr>
                <w:rFonts w:ascii="Arial" w:cs="Arial" w:eastAsia="Arial" w:hAnsi="Arial"/>
                <w:sz w:val="16"/>
                <w:szCs w:val="16"/>
                <w:color w:val="auto"/>
              </w:rPr>
              <w:t>Total Canadian revenues</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$ 71,500</w:t>
            </w:r>
          </w:p>
        </w:tc>
        <w:tc>
          <w:tcPr>
            <w:tcW w:w="80" w:type="dxa"/>
            <w:vAlign w:val="bottom"/>
          </w:tcPr>
          <w:p>
            <w:pPr>
              <w:spacing w:after="0"/>
              <w:rPr>
                <w:sz w:val="23"/>
                <w:szCs w:val="23"/>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$ 174,111</w:t>
            </w:r>
          </w:p>
        </w:tc>
        <w:tc>
          <w:tcPr>
            <w:tcW w:w="80" w:type="dxa"/>
            <w:vAlign w:val="bottom"/>
          </w:tcPr>
          <w:p>
            <w:pPr>
              <w:spacing w:after="0"/>
              <w:rPr>
                <w:sz w:val="23"/>
                <w:szCs w:val="23"/>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$ 278,472</w:t>
            </w:r>
          </w:p>
        </w:tc>
        <w:tc>
          <w:tcPr>
            <w:tcW w:w="80" w:type="dxa"/>
            <w:vAlign w:val="bottom"/>
          </w:tcPr>
          <w:p>
            <w:pPr>
              <w:spacing w:after="0"/>
              <w:rPr>
                <w:sz w:val="23"/>
                <w:szCs w:val="23"/>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$ 510,914</w:t>
            </w:r>
          </w:p>
        </w:tc>
      </w:tr>
      <w:tr>
        <w:trPr>
          <w:trHeight w:val="540"/>
        </w:trPr>
        <w:tc>
          <w:tcPr>
            <w:tcW w:w="5840" w:type="dxa"/>
            <w:vAlign w:val="bottom"/>
          </w:tcPr>
          <w:p>
            <w:pPr>
              <w:ind w:left="140"/>
              <w:spacing w:after="0"/>
              <w:rPr>
                <w:sz w:val="20"/>
                <w:szCs w:val="20"/>
                <w:color w:val="auto"/>
              </w:rPr>
            </w:pPr>
            <w:r>
              <w:rPr>
                <w:rFonts w:ascii="Arial" w:cs="Arial" w:eastAsia="Arial" w:hAnsi="Arial"/>
                <w:sz w:val="16"/>
                <w:szCs w:val="16"/>
                <w:color w:val="auto"/>
              </w:rPr>
              <w:t>Average available lodge rooms (2)</w:t>
            </w:r>
          </w:p>
        </w:tc>
        <w:tc>
          <w:tcPr>
            <w:tcW w:w="1280" w:type="dxa"/>
            <w:vAlign w:val="bottom"/>
          </w:tcPr>
          <w:p>
            <w:pPr>
              <w:jc w:val="right"/>
              <w:spacing w:after="0"/>
              <w:rPr>
                <w:sz w:val="20"/>
                <w:szCs w:val="20"/>
                <w:color w:val="auto"/>
              </w:rPr>
            </w:pPr>
            <w:r>
              <w:rPr>
                <w:rFonts w:ascii="Arial" w:cs="Arial" w:eastAsia="Arial" w:hAnsi="Arial"/>
                <w:sz w:val="16"/>
                <w:szCs w:val="16"/>
                <w:color w:val="auto"/>
              </w:rPr>
              <w:t>13,433</w:t>
            </w:r>
          </w:p>
        </w:tc>
        <w:tc>
          <w:tcPr>
            <w:tcW w:w="80" w:type="dxa"/>
            <w:vAlign w:val="bottom"/>
          </w:tcPr>
          <w:p>
            <w:pPr>
              <w:spacing w:after="0"/>
              <w:rPr>
                <w:sz w:val="24"/>
                <w:szCs w:val="24"/>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13,067</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13,294</w:t>
            </w:r>
          </w:p>
        </w:tc>
        <w:tc>
          <w:tcPr>
            <w:tcW w:w="1260" w:type="dxa"/>
            <w:vAlign w:val="bottom"/>
          </w:tcPr>
          <w:p>
            <w:pPr>
              <w:jc w:val="right"/>
              <w:spacing w:after="0"/>
              <w:rPr>
                <w:sz w:val="20"/>
                <w:szCs w:val="20"/>
                <w:color w:val="auto"/>
              </w:rPr>
            </w:pPr>
            <w:r>
              <w:rPr>
                <w:rFonts w:ascii="Arial" w:cs="Arial" w:eastAsia="Arial" w:hAnsi="Arial"/>
                <w:sz w:val="16"/>
                <w:szCs w:val="16"/>
                <w:color w:val="auto"/>
              </w:rPr>
              <w:t>12,404</w:t>
            </w:r>
          </w:p>
        </w:tc>
      </w:tr>
      <w:tr>
        <w:trPr>
          <w:trHeight w:val="540"/>
        </w:trPr>
        <w:tc>
          <w:tcPr>
            <w:tcW w:w="5840" w:type="dxa"/>
            <w:vAlign w:val="bottom"/>
          </w:tcPr>
          <w:p>
            <w:pPr>
              <w:ind w:left="140"/>
              <w:spacing w:after="0"/>
              <w:rPr>
                <w:sz w:val="20"/>
                <w:szCs w:val="20"/>
                <w:color w:val="auto"/>
              </w:rPr>
            </w:pPr>
            <w:r>
              <w:rPr>
                <w:rFonts w:ascii="Arial" w:cs="Arial" w:eastAsia="Arial" w:hAnsi="Arial"/>
                <w:sz w:val="16"/>
                <w:szCs w:val="16"/>
                <w:color w:val="auto"/>
              </w:rPr>
              <w:t>Rentable rooms (3)</w:t>
            </w:r>
          </w:p>
        </w:tc>
        <w:tc>
          <w:tcPr>
            <w:tcW w:w="1280" w:type="dxa"/>
            <w:vAlign w:val="bottom"/>
          </w:tcPr>
          <w:p>
            <w:pPr>
              <w:jc w:val="right"/>
              <w:spacing w:after="0"/>
              <w:rPr>
                <w:sz w:val="20"/>
                <w:szCs w:val="20"/>
                <w:color w:val="auto"/>
              </w:rPr>
            </w:pPr>
            <w:r>
              <w:rPr>
                <w:rFonts w:ascii="Arial" w:cs="Arial" w:eastAsia="Arial" w:hAnsi="Arial"/>
                <w:sz w:val="16"/>
                <w:szCs w:val="16"/>
                <w:color w:val="auto"/>
              </w:rPr>
              <w:t>9,445</w:t>
            </w:r>
          </w:p>
        </w:tc>
        <w:tc>
          <w:tcPr>
            <w:tcW w:w="80" w:type="dxa"/>
            <w:vAlign w:val="bottom"/>
          </w:tcPr>
          <w:p>
            <w:pPr>
              <w:spacing w:after="0"/>
              <w:rPr>
                <w:sz w:val="24"/>
                <w:szCs w:val="24"/>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11,750</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10,125</w:t>
            </w:r>
          </w:p>
        </w:tc>
        <w:tc>
          <w:tcPr>
            <w:tcW w:w="1260" w:type="dxa"/>
            <w:vAlign w:val="bottom"/>
          </w:tcPr>
          <w:p>
            <w:pPr>
              <w:jc w:val="right"/>
              <w:spacing w:after="0"/>
              <w:rPr>
                <w:sz w:val="20"/>
                <w:szCs w:val="20"/>
                <w:color w:val="auto"/>
              </w:rPr>
            </w:pPr>
            <w:r>
              <w:rPr>
                <w:rFonts w:ascii="Arial" w:cs="Arial" w:eastAsia="Arial" w:hAnsi="Arial"/>
                <w:sz w:val="16"/>
                <w:szCs w:val="16"/>
                <w:color w:val="auto"/>
              </w:rPr>
              <w:t>11,007</w:t>
            </w:r>
          </w:p>
        </w:tc>
      </w:tr>
      <w:tr>
        <w:trPr>
          <w:trHeight w:val="540"/>
        </w:trPr>
        <w:tc>
          <w:tcPr>
            <w:tcW w:w="5840" w:type="dxa"/>
            <w:vAlign w:val="bottom"/>
          </w:tcPr>
          <w:p>
            <w:pPr>
              <w:ind w:left="140"/>
              <w:spacing w:after="0"/>
              <w:rPr>
                <w:sz w:val="20"/>
                <w:szCs w:val="20"/>
                <w:color w:val="auto"/>
              </w:rPr>
            </w:pPr>
            <w:r>
              <w:rPr>
                <w:rFonts w:ascii="Arial" w:cs="Arial" w:eastAsia="Arial" w:hAnsi="Arial"/>
                <w:sz w:val="16"/>
                <w:szCs w:val="16"/>
                <w:color w:val="auto"/>
              </w:rPr>
              <w:t>Average daily rates (4)</w:t>
            </w:r>
          </w:p>
        </w:tc>
        <w:tc>
          <w:tcPr>
            <w:tcW w:w="1280" w:type="dxa"/>
            <w:vAlign w:val="bottom"/>
          </w:tcPr>
          <w:p>
            <w:pPr>
              <w:jc w:val="right"/>
              <w:spacing w:after="0"/>
              <w:rPr>
                <w:sz w:val="20"/>
                <w:szCs w:val="20"/>
                <w:color w:val="auto"/>
              </w:rPr>
            </w:pPr>
            <w:r>
              <w:rPr>
                <w:rFonts w:ascii="Arial" w:cs="Arial" w:eastAsia="Arial" w:hAnsi="Arial"/>
                <w:sz w:val="16"/>
                <w:szCs w:val="16"/>
                <w:color w:val="auto"/>
              </w:rPr>
              <w:t>$ 112</w:t>
            </w:r>
          </w:p>
        </w:tc>
        <w:tc>
          <w:tcPr>
            <w:tcW w:w="80" w:type="dxa"/>
            <w:vAlign w:val="bottom"/>
          </w:tcPr>
          <w:p>
            <w:pPr>
              <w:spacing w:after="0"/>
              <w:rPr>
                <w:sz w:val="24"/>
                <w:szCs w:val="24"/>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$ 149</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$ 123</w:t>
            </w:r>
          </w:p>
        </w:tc>
        <w:tc>
          <w:tcPr>
            <w:tcW w:w="1260" w:type="dxa"/>
            <w:vAlign w:val="bottom"/>
          </w:tcPr>
          <w:p>
            <w:pPr>
              <w:jc w:val="right"/>
              <w:spacing w:after="0"/>
              <w:rPr>
                <w:sz w:val="20"/>
                <w:szCs w:val="20"/>
                <w:color w:val="auto"/>
              </w:rPr>
            </w:pPr>
            <w:r>
              <w:rPr>
                <w:rFonts w:ascii="Arial" w:cs="Arial" w:eastAsia="Arial" w:hAnsi="Arial"/>
                <w:sz w:val="16"/>
                <w:szCs w:val="16"/>
                <w:color w:val="auto"/>
              </w:rPr>
              <w:t>$ 146</w:t>
            </w:r>
          </w:p>
        </w:tc>
      </w:tr>
      <w:tr>
        <w:trPr>
          <w:trHeight w:val="540"/>
        </w:trPr>
        <w:tc>
          <w:tcPr>
            <w:tcW w:w="5840" w:type="dxa"/>
            <w:vAlign w:val="bottom"/>
          </w:tcPr>
          <w:p>
            <w:pPr>
              <w:ind w:left="140"/>
              <w:spacing w:after="0"/>
              <w:rPr>
                <w:sz w:val="20"/>
                <w:szCs w:val="20"/>
                <w:color w:val="auto"/>
              </w:rPr>
            </w:pPr>
            <w:r>
              <w:rPr>
                <w:rFonts w:ascii="Arial" w:cs="Arial" w:eastAsia="Arial" w:hAnsi="Arial"/>
                <w:sz w:val="16"/>
                <w:szCs w:val="16"/>
                <w:color w:val="auto"/>
              </w:rPr>
              <w:t>RevPAR for lodges (5)</w:t>
            </w:r>
          </w:p>
        </w:tc>
        <w:tc>
          <w:tcPr>
            <w:tcW w:w="1280" w:type="dxa"/>
            <w:vAlign w:val="bottom"/>
          </w:tcPr>
          <w:p>
            <w:pPr>
              <w:jc w:val="right"/>
              <w:spacing w:after="0"/>
              <w:rPr>
                <w:sz w:val="20"/>
                <w:szCs w:val="20"/>
                <w:color w:val="auto"/>
              </w:rPr>
            </w:pPr>
            <w:r>
              <w:rPr>
                <w:rFonts w:ascii="Arial" w:cs="Arial" w:eastAsia="Arial" w:hAnsi="Arial"/>
                <w:sz w:val="16"/>
                <w:szCs w:val="16"/>
                <w:color w:val="auto"/>
              </w:rPr>
              <w:t>$ 45</w:t>
            </w:r>
          </w:p>
        </w:tc>
        <w:tc>
          <w:tcPr>
            <w:tcW w:w="80" w:type="dxa"/>
            <w:vAlign w:val="bottom"/>
          </w:tcPr>
          <w:p>
            <w:pPr>
              <w:spacing w:after="0"/>
              <w:rPr>
                <w:sz w:val="24"/>
                <w:szCs w:val="24"/>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$ 112</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$ 59</w:t>
            </w:r>
          </w:p>
        </w:tc>
        <w:tc>
          <w:tcPr>
            <w:tcW w:w="1260" w:type="dxa"/>
            <w:vAlign w:val="bottom"/>
          </w:tcPr>
          <w:p>
            <w:pPr>
              <w:jc w:val="right"/>
              <w:spacing w:after="0"/>
              <w:rPr>
                <w:sz w:val="20"/>
                <w:szCs w:val="20"/>
                <w:color w:val="auto"/>
              </w:rPr>
            </w:pPr>
            <w:r>
              <w:rPr>
                <w:rFonts w:ascii="Arial" w:cs="Arial" w:eastAsia="Arial" w:hAnsi="Arial"/>
                <w:sz w:val="16"/>
                <w:szCs w:val="16"/>
                <w:color w:val="auto"/>
              </w:rPr>
              <w:t>$ 112</w:t>
            </w:r>
          </w:p>
        </w:tc>
      </w:tr>
      <w:tr>
        <w:trPr>
          <w:trHeight w:val="540"/>
        </w:trPr>
        <w:tc>
          <w:tcPr>
            <w:tcW w:w="5840" w:type="dxa"/>
            <w:vAlign w:val="bottom"/>
          </w:tcPr>
          <w:p>
            <w:pPr>
              <w:ind w:left="140"/>
              <w:spacing w:after="0"/>
              <w:rPr>
                <w:sz w:val="20"/>
                <w:szCs w:val="20"/>
                <w:color w:val="auto"/>
              </w:rPr>
            </w:pPr>
            <w:r>
              <w:rPr>
                <w:rFonts w:ascii="Arial" w:cs="Arial" w:eastAsia="Arial" w:hAnsi="Arial"/>
                <w:sz w:val="16"/>
                <w:szCs w:val="16"/>
                <w:color w:val="auto"/>
              </w:rPr>
              <w:t>Occupancy in lodges (6)</w:t>
            </w:r>
          </w:p>
        </w:tc>
        <w:tc>
          <w:tcPr>
            <w:tcW w:w="128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24"/>
                <w:szCs w:val="24"/>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84%</w:t>
            </w:r>
          </w:p>
        </w:tc>
        <w:tc>
          <w:tcPr>
            <w:tcW w:w="124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540"/>
        </w:trPr>
        <w:tc>
          <w:tcPr>
            <w:tcW w:w="5840" w:type="dxa"/>
            <w:vAlign w:val="bottom"/>
          </w:tcPr>
          <w:p>
            <w:pPr>
              <w:ind w:left="140"/>
              <w:spacing w:after="0"/>
              <w:rPr>
                <w:sz w:val="20"/>
                <w:szCs w:val="20"/>
                <w:color w:val="auto"/>
              </w:rPr>
            </w:pPr>
            <w:r>
              <w:rPr>
                <w:rFonts w:ascii="Arial" w:cs="Arial" w:eastAsia="Arial" w:hAnsi="Arial"/>
                <w:sz w:val="16"/>
                <w:szCs w:val="16"/>
                <w:color w:val="auto"/>
              </w:rPr>
              <w:t>Canadian dollar to U.S. dollar</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$ 0.764</w:t>
            </w: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$ 0.918</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$ 0.795</w:t>
            </w:r>
          </w:p>
        </w:tc>
        <w:tc>
          <w:tcPr>
            <w:tcW w:w="1260" w:type="dxa"/>
            <w:vAlign w:val="bottom"/>
          </w:tcPr>
          <w:p>
            <w:pPr>
              <w:jc w:val="right"/>
              <w:spacing w:after="0"/>
              <w:rPr>
                <w:sz w:val="20"/>
                <w:szCs w:val="20"/>
                <w:color w:val="auto"/>
              </w:rPr>
            </w:pPr>
            <w:r>
              <w:rPr>
                <w:rFonts w:ascii="Arial" w:cs="Arial" w:eastAsia="Arial" w:hAnsi="Arial"/>
                <w:sz w:val="16"/>
                <w:szCs w:val="16"/>
                <w:color w:val="auto"/>
              </w:rPr>
              <w:t>$ 0.914</w:t>
            </w:r>
          </w:p>
        </w:tc>
      </w:tr>
      <w:tr>
        <w:trPr>
          <w:trHeight w:val="810"/>
        </w:trPr>
        <w:tc>
          <w:tcPr>
            <w:tcW w:w="584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 Segment</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5840" w:type="dxa"/>
            <w:vAlign w:val="bottom"/>
          </w:tcPr>
          <w:p>
            <w:pPr>
              <w:ind w:left="140"/>
              <w:spacing w:after="0"/>
              <w:rPr>
                <w:sz w:val="20"/>
                <w:szCs w:val="20"/>
                <w:color w:val="auto"/>
              </w:rPr>
            </w:pPr>
            <w:r>
              <w:rPr>
                <w:rFonts w:ascii="Arial" w:cs="Arial" w:eastAsia="Arial" w:hAnsi="Arial"/>
                <w:sz w:val="16"/>
                <w:szCs w:val="16"/>
                <w:color w:val="auto"/>
              </w:rPr>
              <w:t>Revenues</w:t>
            </w: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840" w:type="dxa"/>
            <w:vAlign w:val="bottom"/>
          </w:tcPr>
          <w:p>
            <w:pPr>
              <w:ind w:left="280"/>
              <w:spacing w:after="0"/>
              <w:rPr>
                <w:sz w:val="20"/>
                <w:szCs w:val="20"/>
                <w:color w:val="auto"/>
              </w:rPr>
            </w:pPr>
            <w:r>
              <w:rPr>
                <w:rFonts w:ascii="Arial" w:cs="Arial" w:eastAsia="Arial" w:hAnsi="Arial"/>
                <w:sz w:val="16"/>
                <w:szCs w:val="16"/>
                <w:color w:val="auto"/>
              </w:rPr>
              <w:t>Village revenues (1)</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$ 29,177</w:t>
            </w: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$ 54,000</w:t>
            </w:r>
          </w:p>
        </w:tc>
        <w:tc>
          <w:tcPr>
            <w:tcW w:w="1240" w:type="dxa"/>
            <w:vAlign w:val="bottom"/>
          </w:tcPr>
          <w:p>
            <w:pPr>
              <w:jc w:val="right"/>
              <w:spacing w:after="0"/>
              <w:rPr>
                <w:sz w:val="20"/>
                <w:szCs w:val="20"/>
                <w:color w:val="auto"/>
              </w:rPr>
            </w:pPr>
            <w:r>
              <w:rPr>
                <w:rFonts w:ascii="Arial" w:cs="Arial" w:eastAsia="Arial" w:hAnsi="Arial"/>
                <w:sz w:val="16"/>
                <w:szCs w:val="16"/>
                <w:color w:val="auto"/>
              </w:rPr>
              <w:t>$ 109,304</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$ 163,847</w:t>
            </w:r>
          </w:p>
        </w:tc>
      </w:tr>
      <w:tr>
        <w:trPr>
          <w:trHeight w:val="540"/>
        </w:trPr>
        <w:tc>
          <w:tcPr>
            <w:tcW w:w="5840" w:type="dxa"/>
            <w:vAlign w:val="bottom"/>
          </w:tcPr>
          <w:p>
            <w:pPr>
              <w:ind w:left="140"/>
              <w:spacing w:after="0"/>
              <w:rPr>
                <w:sz w:val="20"/>
                <w:szCs w:val="20"/>
                <w:color w:val="auto"/>
              </w:rPr>
            </w:pPr>
            <w:r>
              <w:rPr>
                <w:rFonts w:ascii="Arial" w:cs="Arial" w:eastAsia="Arial" w:hAnsi="Arial"/>
                <w:sz w:val="16"/>
                <w:szCs w:val="16"/>
                <w:color w:val="auto"/>
              </w:rPr>
              <w:t>Average available village rooms (2)</w:t>
            </w:r>
          </w:p>
        </w:tc>
        <w:tc>
          <w:tcPr>
            <w:tcW w:w="1280" w:type="dxa"/>
            <w:vAlign w:val="bottom"/>
          </w:tcPr>
          <w:p>
            <w:pPr>
              <w:jc w:val="right"/>
              <w:spacing w:after="0"/>
              <w:rPr>
                <w:sz w:val="20"/>
                <w:szCs w:val="20"/>
                <w:color w:val="auto"/>
              </w:rPr>
            </w:pPr>
            <w:r>
              <w:rPr>
                <w:rFonts w:ascii="Arial" w:cs="Arial" w:eastAsia="Arial" w:hAnsi="Arial"/>
                <w:sz w:val="16"/>
                <w:szCs w:val="16"/>
                <w:color w:val="auto"/>
              </w:rPr>
              <w:t>9,064</w:t>
            </w:r>
          </w:p>
        </w:tc>
        <w:tc>
          <w:tcPr>
            <w:tcW w:w="80" w:type="dxa"/>
            <w:vAlign w:val="bottom"/>
          </w:tcPr>
          <w:p>
            <w:pPr>
              <w:spacing w:after="0"/>
              <w:rPr>
                <w:sz w:val="24"/>
                <w:szCs w:val="24"/>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9,269</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9,219</w:t>
            </w:r>
          </w:p>
        </w:tc>
        <w:tc>
          <w:tcPr>
            <w:tcW w:w="1260" w:type="dxa"/>
            <w:vAlign w:val="bottom"/>
          </w:tcPr>
          <w:p>
            <w:pPr>
              <w:jc w:val="right"/>
              <w:spacing w:after="0"/>
              <w:rPr>
                <w:sz w:val="20"/>
                <w:szCs w:val="20"/>
                <w:color w:val="auto"/>
              </w:rPr>
            </w:pPr>
            <w:r>
              <w:rPr>
                <w:rFonts w:ascii="Arial" w:cs="Arial" w:eastAsia="Arial" w:hAnsi="Arial"/>
                <w:sz w:val="16"/>
                <w:szCs w:val="16"/>
                <w:color w:val="auto"/>
              </w:rPr>
              <w:t>9,263</w:t>
            </w:r>
          </w:p>
        </w:tc>
      </w:tr>
      <w:tr>
        <w:trPr>
          <w:trHeight w:val="540"/>
        </w:trPr>
        <w:tc>
          <w:tcPr>
            <w:tcW w:w="5840" w:type="dxa"/>
            <w:vAlign w:val="bottom"/>
          </w:tcPr>
          <w:p>
            <w:pPr>
              <w:ind w:left="140"/>
              <w:spacing w:after="0"/>
              <w:rPr>
                <w:sz w:val="20"/>
                <w:szCs w:val="20"/>
                <w:color w:val="auto"/>
              </w:rPr>
            </w:pPr>
            <w:r>
              <w:rPr>
                <w:rFonts w:ascii="Arial" w:cs="Arial" w:eastAsia="Arial" w:hAnsi="Arial"/>
                <w:sz w:val="16"/>
                <w:szCs w:val="16"/>
                <w:color w:val="auto"/>
              </w:rPr>
              <w:t>Rentable rooms (3)</w:t>
            </w:r>
          </w:p>
        </w:tc>
        <w:tc>
          <w:tcPr>
            <w:tcW w:w="1280" w:type="dxa"/>
            <w:vAlign w:val="bottom"/>
          </w:tcPr>
          <w:p>
            <w:pPr>
              <w:jc w:val="right"/>
              <w:spacing w:after="0"/>
              <w:rPr>
                <w:sz w:val="20"/>
                <w:szCs w:val="20"/>
                <w:color w:val="auto"/>
              </w:rPr>
            </w:pPr>
            <w:r>
              <w:rPr>
                <w:rFonts w:ascii="Arial" w:cs="Arial" w:eastAsia="Arial" w:hAnsi="Arial"/>
                <w:sz w:val="16"/>
                <w:szCs w:val="16"/>
                <w:color w:val="auto"/>
              </w:rPr>
              <w:t>8,824</w:t>
            </w:r>
          </w:p>
        </w:tc>
        <w:tc>
          <w:tcPr>
            <w:tcW w:w="80" w:type="dxa"/>
            <w:vAlign w:val="bottom"/>
          </w:tcPr>
          <w:p>
            <w:pPr>
              <w:spacing w:after="0"/>
              <w:rPr>
                <w:sz w:val="24"/>
                <w:szCs w:val="24"/>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9,131</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8,955</w:t>
            </w:r>
          </w:p>
        </w:tc>
        <w:tc>
          <w:tcPr>
            <w:tcW w:w="1260" w:type="dxa"/>
            <w:vAlign w:val="bottom"/>
          </w:tcPr>
          <w:p>
            <w:pPr>
              <w:jc w:val="right"/>
              <w:spacing w:after="0"/>
              <w:rPr>
                <w:sz w:val="20"/>
                <w:szCs w:val="20"/>
                <w:color w:val="auto"/>
              </w:rPr>
            </w:pPr>
            <w:r>
              <w:rPr>
                <w:rFonts w:ascii="Arial" w:cs="Arial" w:eastAsia="Arial" w:hAnsi="Arial"/>
                <w:sz w:val="16"/>
                <w:szCs w:val="16"/>
                <w:color w:val="auto"/>
              </w:rPr>
              <w:t>9,057</w:t>
            </w:r>
          </w:p>
        </w:tc>
      </w:tr>
      <w:tr>
        <w:trPr>
          <w:trHeight w:val="540"/>
        </w:trPr>
        <w:tc>
          <w:tcPr>
            <w:tcW w:w="5840" w:type="dxa"/>
            <w:vAlign w:val="bottom"/>
          </w:tcPr>
          <w:p>
            <w:pPr>
              <w:ind w:left="140"/>
              <w:spacing w:after="0"/>
              <w:rPr>
                <w:sz w:val="20"/>
                <w:szCs w:val="20"/>
                <w:color w:val="auto"/>
              </w:rPr>
            </w:pPr>
            <w:r>
              <w:rPr>
                <w:rFonts w:ascii="Arial" w:cs="Arial" w:eastAsia="Arial" w:hAnsi="Arial"/>
                <w:sz w:val="16"/>
                <w:szCs w:val="16"/>
                <w:color w:val="auto"/>
              </w:rPr>
              <w:t>Average daily rates (4)</w:t>
            </w:r>
          </w:p>
        </w:tc>
        <w:tc>
          <w:tcPr>
            <w:tcW w:w="1280" w:type="dxa"/>
            <w:vAlign w:val="bottom"/>
          </w:tcPr>
          <w:p>
            <w:pPr>
              <w:jc w:val="right"/>
              <w:spacing w:after="0"/>
              <w:rPr>
                <w:sz w:val="20"/>
                <w:szCs w:val="20"/>
                <w:color w:val="auto"/>
              </w:rPr>
            </w:pPr>
            <w:r>
              <w:rPr>
                <w:rFonts w:ascii="Arial" w:cs="Arial" w:eastAsia="Arial" w:hAnsi="Arial"/>
                <w:sz w:val="16"/>
                <w:szCs w:val="16"/>
                <w:color w:val="auto"/>
              </w:rPr>
              <w:t>$ 71</w:t>
            </w:r>
          </w:p>
        </w:tc>
        <w:tc>
          <w:tcPr>
            <w:tcW w:w="80" w:type="dxa"/>
            <w:vAlign w:val="bottom"/>
          </w:tcPr>
          <w:p>
            <w:pPr>
              <w:spacing w:after="0"/>
              <w:rPr>
                <w:sz w:val="24"/>
                <w:szCs w:val="24"/>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$ 98</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$ 76</w:t>
            </w:r>
          </w:p>
        </w:tc>
        <w:tc>
          <w:tcPr>
            <w:tcW w:w="1260" w:type="dxa"/>
            <w:vAlign w:val="bottom"/>
          </w:tcPr>
          <w:p>
            <w:pPr>
              <w:jc w:val="right"/>
              <w:spacing w:after="0"/>
              <w:rPr>
                <w:sz w:val="20"/>
                <w:szCs w:val="20"/>
                <w:color w:val="auto"/>
              </w:rPr>
            </w:pPr>
            <w:r>
              <w:rPr>
                <w:rFonts w:ascii="Arial" w:cs="Arial" w:eastAsia="Arial" w:hAnsi="Arial"/>
                <w:sz w:val="16"/>
                <w:szCs w:val="16"/>
                <w:color w:val="auto"/>
              </w:rPr>
              <w:t>$ 96</w:t>
            </w:r>
          </w:p>
        </w:tc>
      </w:tr>
      <w:tr>
        <w:trPr>
          <w:trHeight w:val="540"/>
        </w:trPr>
        <w:tc>
          <w:tcPr>
            <w:tcW w:w="5840" w:type="dxa"/>
            <w:vAlign w:val="bottom"/>
          </w:tcPr>
          <w:p>
            <w:pPr>
              <w:ind w:left="140"/>
              <w:spacing w:after="0"/>
              <w:rPr>
                <w:sz w:val="20"/>
                <w:szCs w:val="20"/>
                <w:color w:val="auto"/>
              </w:rPr>
            </w:pPr>
            <w:r>
              <w:rPr>
                <w:rFonts w:ascii="Arial" w:cs="Arial" w:eastAsia="Arial" w:hAnsi="Arial"/>
                <w:sz w:val="16"/>
                <w:szCs w:val="16"/>
                <w:color w:val="auto"/>
              </w:rPr>
              <w:t>RevPAR for villages (5)</w:t>
            </w:r>
          </w:p>
        </w:tc>
        <w:tc>
          <w:tcPr>
            <w:tcW w:w="1280" w:type="dxa"/>
            <w:vAlign w:val="bottom"/>
          </w:tcPr>
          <w:p>
            <w:pPr>
              <w:jc w:val="right"/>
              <w:spacing w:after="0"/>
              <w:rPr>
                <w:sz w:val="20"/>
                <w:szCs w:val="20"/>
                <w:color w:val="auto"/>
              </w:rPr>
            </w:pPr>
            <w:r>
              <w:rPr>
                <w:rFonts w:ascii="Arial" w:cs="Arial" w:eastAsia="Arial" w:hAnsi="Arial"/>
                <w:sz w:val="16"/>
                <w:szCs w:val="16"/>
                <w:color w:val="auto"/>
              </w:rPr>
              <w:t>$ 35</w:t>
            </w:r>
          </w:p>
        </w:tc>
        <w:tc>
          <w:tcPr>
            <w:tcW w:w="80" w:type="dxa"/>
            <w:vAlign w:val="bottom"/>
          </w:tcPr>
          <w:p>
            <w:pPr>
              <w:spacing w:after="0"/>
              <w:rPr>
                <w:sz w:val="24"/>
                <w:szCs w:val="24"/>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$ 63</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$ 43</w:t>
            </w:r>
          </w:p>
        </w:tc>
        <w:tc>
          <w:tcPr>
            <w:tcW w:w="1260" w:type="dxa"/>
            <w:vAlign w:val="bottom"/>
          </w:tcPr>
          <w:p>
            <w:pPr>
              <w:jc w:val="right"/>
              <w:spacing w:after="0"/>
              <w:rPr>
                <w:sz w:val="20"/>
                <w:szCs w:val="20"/>
                <w:color w:val="auto"/>
              </w:rPr>
            </w:pPr>
            <w:r>
              <w:rPr>
                <w:rFonts w:ascii="Arial" w:cs="Arial" w:eastAsia="Arial" w:hAnsi="Arial"/>
                <w:sz w:val="16"/>
                <w:szCs w:val="16"/>
                <w:color w:val="auto"/>
              </w:rPr>
              <w:t>$ 65</w:t>
            </w:r>
          </w:p>
        </w:tc>
      </w:tr>
      <w:tr>
        <w:trPr>
          <w:trHeight w:val="540"/>
        </w:trPr>
        <w:tc>
          <w:tcPr>
            <w:tcW w:w="5840" w:type="dxa"/>
            <w:vAlign w:val="bottom"/>
          </w:tcPr>
          <w:p>
            <w:pPr>
              <w:ind w:left="140"/>
              <w:spacing w:after="0"/>
              <w:rPr>
                <w:sz w:val="20"/>
                <w:szCs w:val="20"/>
                <w:color w:val="auto"/>
              </w:rPr>
            </w:pPr>
            <w:r>
              <w:rPr>
                <w:rFonts w:ascii="Arial" w:cs="Arial" w:eastAsia="Arial" w:hAnsi="Arial"/>
                <w:sz w:val="16"/>
                <w:szCs w:val="16"/>
                <w:color w:val="auto"/>
              </w:rPr>
              <w:t>Occupancy in villages (6)</w:t>
            </w:r>
          </w:p>
        </w:tc>
        <w:tc>
          <w:tcPr>
            <w:tcW w:w="128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24"/>
                <w:szCs w:val="24"/>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65%</w:t>
            </w:r>
          </w:p>
        </w:tc>
        <w:tc>
          <w:tcPr>
            <w:tcW w:w="124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540"/>
        </w:trPr>
        <w:tc>
          <w:tcPr>
            <w:tcW w:w="5840" w:type="dxa"/>
            <w:vAlign w:val="bottom"/>
          </w:tcPr>
          <w:p>
            <w:pPr>
              <w:ind w:left="140"/>
              <w:spacing w:after="0"/>
              <w:rPr>
                <w:sz w:val="20"/>
                <w:szCs w:val="20"/>
                <w:color w:val="auto"/>
              </w:rPr>
            </w:pPr>
            <w:r>
              <w:rPr>
                <w:rFonts w:ascii="Arial" w:cs="Arial" w:eastAsia="Arial" w:hAnsi="Arial"/>
                <w:sz w:val="16"/>
                <w:szCs w:val="16"/>
                <w:color w:val="auto"/>
              </w:rPr>
              <w:t>Australian dollar to U.S. dollar</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$ 0.725</w:t>
            </w: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$ 0.924</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$ 0.763</w:t>
            </w:r>
          </w:p>
        </w:tc>
        <w:tc>
          <w:tcPr>
            <w:tcW w:w="1260" w:type="dxa"/>
            <w:vAlign w:val="bottom"/>
          </w:tcPr>
          <w:p>
            <w:pPr>
              <w:jc w:val="right"/>
              <w:spacing w:after="0"/>
              <w:rPr>
                <w:sz w:val="20"/>
                <w:szCs w:val="20"/>
                <w:color w:val="auto"/>
              </w:rPr>
            </w:pPr>
            <w:r>
              <w:rPr>
                <w:rFonts w:ascii="Arial" w:cs="Arial" w:eastAsia="Arial" w:hAnsi="Arial"/>
                <w:sz w:val="16"/>
                <w:szCs w:val="16"/>
                <w:color w:val="auto"/>
              </w:rPr>
              <w:t>$ 0.918</w:t>
            </w:r>
          </w:p>
        </w:tc>
      </w:tr>
    </w:tbl>
    <w:p>
      <w:pPr>
        <w:spacing w:after="0" w:line="346" w:lineRule="exact"/>
        <w:rPr>
          <w:sz w:val="20"/>
          <w:szCs w:val="20"/>
          <w:color w:val="auto"/>
        </w:rPr>
      </w:pPr>
    </w:p>
    <w:p>
      <w:pPr>
        <w:ind w:left="300" w:hanging="291"/>
        <w:spacing w:after="0"/>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356" w:lineRule="exact"/>
        <w:rPr>
          <w:rFonts w:ascii="Arial" w:cs="Arial" w:eastAsia="Arial" w:hAnsi="Arial"/>
          <w:sz w:val="16"/>
          <w:szCs w:val="16"/>
          <w:color w:val="auto"/>
        </w:rPr>
      </w:pPr>
    </w:p>
    <w:p>
      <w:pPr>
        <w:ind w:left="300" w:hanging="291"/>
        <w:spacing w:after="0"/>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Average available rooms relate to Canadian lodges and Australian villages and include rooms that are utilized for our personnel.</w:t>
      </w:r>
    </w:p>
    <w:p>
      <w:pPr>
        <w:spacing w:after="0" w:line="356" w:lineRule="exact"/>
        <w:rPr>
          <w:rFonts w:ascii="Arial" w:cs="Arial" w:eastAsia="Arial" w:hAnsi="Arial"/>
          <w:sz w:val="16"/>
          <w:szCs w:val="16"/>
          <w:color w:val="auto"/>
        </w:rPr>
      </w:pPr>
    </w:p>
    <w:p>
      <w:pPr>
        <w:ind w:left="300" w:hanging="291"/>
        <w:spacing w:after="0"/>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Rentable rooms relate to Canadian lodges and Australian villages and exclude rooms that are utilized for our personnel and out of service rooms.</w:t>
      </w:r>
    </w:p>
    <w:p>
      <w:pPr>
        <w:spacing w:after="0" w:line="356" w:lineRule="exact"/>
        <w:rPr>
          <w:rFonts w:ascii="Arial" w:cs="Arial" w:eastAsia="Arial" w:hAnsi="Arial"/>
          <w:sz w:val="16"/>
          <w:szCs w:val="16"/>
          <w:color w:val="auto"/>
        </w:rPr>
      </w:pPr>
    </w:p>
    <w:p>
      <w:pPr>
        <w:ind w:left="300" w:hanging="291"/>
        <w:spacing w:after="0"/>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Average daily rate is based on rentable rooms and lodge/village revenue in U.S. dollars.</w:t>
      </w:r>
    </w:p>
    <w:p>
      <w:pPr>
        <w:spacing w:after="0" w:line="356" w:lineRule="exact"/>
        <w:rPr>
          <w:rFonts w:ascii="Arial" w:cs="Arial" w:eastAsia="Arial" w:hAnsi="Arial"/>
          <w:sz w:val="16"/>
          <w:szCs w:val="16"/>
          <w:color w:val="auto"/>
        </w:rPr>
      </w:pPr>
    </w:p>
    <w:p>
      <w:pPr>
        <w:ind w:right="20" w:firstLine="9"/>
        <w:spacing w:after="0" w:line="260" w:lineRule="auto"/>
        <w:tabs>
          <w:tab w:leader="none" w:pos="288"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330" w:lineRule="exact"/>
        <w:rPr>
          <w:rFonts w:ascii="Arial" w:cs="Arial" w:eastAsia="Arial" w:hAnsi="Arial"/>
          <w:sz w:val="16"/>
          <w:szCs w:val="16"/>
          <w:color w:val="auto"/>
        </w:rPr>
      </w:pPr>
    </w:p>
    <w:p>
      <w:pPr>
        <w:ind w:left="300" w:hanging="291"/>
        <w:spacing w:after="0"/>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Occupancy represents total billed days divided by rentable days. Rentable days excludes staff rooms and out of service rooms.</w:t>
      </w:r>
    </w:p>
    <w:p>
      <w:pPr>
        <w:sectPr>
          <w:pgSz w:w="11900" w:h="16838" w:orient="portrait"/>
          <w:cols w:equalWidth="0" w:num="1">
            <w:col w:w="11260"/>
          </w:cols>
          <w:pgMar w:left="320" w:top="141" w:right="319"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CONTACT: Frank C. Steininger</w:t>
      </w:r>
    </w:p>
    <w:p>
      <w:pPr>
        <w:ind w:left="960"/>
        <w:spacing w:after="0" w:line="238" w:lineRule="auto"/>
        <w:rPr>
          <w:sz w:val="20"/>
          <w:szCs w:val="20"/>
          <w:color w:val="auto"/>
        </w:rPr>
      </w:pPr>
      <w:r>
        <w:rPr>
          <w:rFonts w:ascii="Courier New" w:cs="Courier New" w:eastAsia="Courier New" w:hAnsi="Courier New"/>
          <w:sz w:val="18"/>
          <w:szCs w:val="18"/>
          <w:color w:val="auto"/>
        </w:rPr>
        <w:t>Civeo Corporation</w:t>
      </w:r>
    </w:p>
    <w:p>
      <w:pPr>
        <w:spacing w:after="0" w:line="5" w:lineRule="exact"/>
        <w:rPr>
          <w:sz w:val="20"/>
          <w:szCs w:val="20"/>
          <w:color w:val="auto"/>
        </w:rPr>
      </w:pPr>
    </w:p>
    <w:p>
      <w:pPr>
        <w:ind w:left="960" w:right="4099"/>
        <w:spacing w:after="0" w:line="235" w:lineRule="auto"/>
        <w:rPr>
          <w:sz w:val="20"/>
          <w:szCs w:val="20"/>
          <w:color w:val="auto"/>
        </w:rPr>
      </w:pPr>
      <w:r>
        <w:rPr>
          <w:rFonts w:ascii="Courier New" w:cs="Courier New" w:eastAsia="Courier New" w:hAnsi="Courier New"/>
          <w:sz w:val="18"/>
          <w:szCs w:val="18"/>
          <w:color w:val="auto"/>
        </w:rPr>
        <w:t>Senior Vice President and Chief Financial Officer 713-510-2400</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Anne Pearson / Lisa Elliott</w:t>
      </w:r>
    </w:p>
    <w:p>
      <w:pPr>
        <w:ind w:left="960"/>
        <w:spacing w:after="0" w:line="238" w:lineRule="auto"/>
        <w:rPr>
          <w:sz w:val="20"/>
          <w:szCs w:val="20"/>
          <w:color w:val="auto"/>
        </w:rPr>
      </w:pPr>
      <w:r>
        <w:rPr>
          <w:rFonts w:ascii="Courier New" w:cs="Courier New" w:eastAsia="Courier New" w:hAnsi="Courier New"/>
          <w:sz w:val="18"/>
          <w:szCs w:val="18"/>
          <w:color w:val="auto"/>
        </w:rPr>
        <w:t>Dennard-Lascar Associates</w:t>
      </w:r>
    </w:p>
    <w:p>
      <w:pPr>
        <w:ind w:left="960"/>
        <w:spacing w:after="0"/>
        <w:rPr>
          <w:sz w:val="20"/>
          <w:szCs w:val="20"/>
          <w:color w:val="auto"/>
        </w:rPr>
      </w:pPr>
      <w:r>
        <w:rPr>
          <w:rFonts w:ascii="Courier New" w:cs="Courier New" w:eastAsia="Courier New" w:hAnsi="Courier New"/>
          <w:sz w:val="18"/>
          <w:szCs w:val="18"/>
          <w:color w:val="auto"/>
        </w:rPr>
        <w:t>713-529-6600</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Letter"/>
      <w:start w:val="7"/>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2019-12-09T03:49:52Z</dcterms:created>
  <dcterms:modified xsi:type="dcterms:W3CDTF">2019-12-09T03:49:52Z</dcterms:modified>
</cp:coreProperties>
</file>