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3"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7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FORM 8-K</w:t>
      </w:r>
    </w:p>
    <w:p>
      <w:pPr>
        <w:spacing w:after="0" w:line="219"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SECURITIES EXCHANGE ACT OF 1934</w:t>
      </w:r>
    </w:p>
    <w:p>
      <w:pPr>
        <w:spacing w:after="0" w:line="219"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Date of Report (Date of earliest event Reported): November 5, 2014</w:t>
      </w:r>
    </w:p>
    <w:p>
      <w:pPr>
        <w:spacing w:after="0" w:line="205" w:lineRule="exact"/>
        <w:rPr>
          <w:sz w:val="24"/>
          <w:szCs w:val="24"/>
          <w:color w:val="auto"/>
        </w:rPr>
      </w:pPr>
    </w:p>
    <w:p>
      <w:pPr>
        <w:jc w:val="center"/>
        <w:ind w:right="-279"/>
        <w:spacing w:after="0"/>
        <w:rPr>
          <w:sz w:val="20"/>
          <w:szCs w:val="20"/>
          <w:color w:val="auto"/>
        </w:rPr>
      </w:pPr>
      <w:r>
        <w:rPr>
          <w:rFonts w:ascii="Arial" w:cs="Arial" w:eastAsia="Arial" w:hAnsi="Arial"/>
          <w:sz w:val="24"/>
          <w:szCs w:val="24"/>
          <w:b w:val="1"/>
          <w:bCs w:val="1"/>
          <w:color w:val="auto"/>
        </w:rPr>
        <w:t>Civeo Corporation</w:t>
      </w:r>
    </w:p>
    <w:p>
      <w:pPr>
        <w:spacing w:after="0" w:line="41"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(Exact Name of Registrant as Specified in Charter)</w:t>
      </w:r>
    </w:p>
    <w:p>
      <w:pPr>
        <w:spacing w:after="0" w:line="206" w:lineRule="exact"/>
        <w:rPr>
          <w:sz w:val="24"/>
          <w:szCs w:val="24"/>
          <w:color w:val="auto"/>
        </w:rPr>
      </w:pPr>
    </w:p>
    <w:p>
      <w:pPr>
        <w:ind w:left="1480"/>
        <w:spacing w:after="0"/>
        <w:tabs>
          <w:tab w:leader="none" w:pos="5520" w:val="left"/>
          <w:tab w:leader="none" w:pos="926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1-36246</w:t>
      </w:r>
      <w:r>
        <w:rPr>
          <w:sz w:val="20"/>
          <w:szCs w:val="20"/>
          <w:color w:val="auto"/>
        </w:rPr>
        <w:tab/>
      </w:r>
      <w:r>
        <w:rPr>
          <w:rFonts w:ascii="Arial" w:cs="Arial" w:eastAsia="Arial" w:hAnsi="Arial"/>
          <w:sz w:val="15"/>
          <w:szCs w:val="15"/>
          <w:b w:val="1"/>
          <w:bCs w:val="1"/>
          <w:color w:val="auto"/>
        </w:rPr>
        <w:t>46-3831207</w:t>
      </w:r>
    </w:p>
    <w:p>
      <w:pPr>
        <w:spacing w:after="0" w:line="21" w:lineRule="exact"/>
        <w:rPr>
          <w:sz w:val="24"/>
          <w:szCs w:val="24"/>
          <w:color w:val="auto"/>
        </w:rPr>
      </w:pPr>
    </w:p>
    <w:p>
      <w:pPr>
        <w:ind w:left="260"/>
        <w:spacing w:after="0"/>
        <w:tabs>
          <w:tab w:leader="none" w:pos="4840" w:val="left"/>
          <w:tab w:leader="none" w:pos="8260" w:val="left"/>
        </w:tabs>
        <w:rPr>
          <w:sz w:val="20"/>
          <w:szCs w:val="20"/>
          <w:color w:val="auto"/>
        </w:rPr>
      </w:pPr>
      <w:r>
        <w:rPr>
          <w:rFonts w:ascii="Arial" w:cs="Arial" w:eastAsia="Arial" w:hAnsi="Arial"/>
          <w:sz w:val="18"/>
          <w:szCs w:val="18"/>
          <w:color w:val="auto"/>
        </w:rPr>
        <w:t>(State or Other Jurisdiction of Incorporation)</w:t>
      </w:r>
      <w:r>
        <w:rPr>
          <w:sz w:val="20"/>
          <w:szCs w:val="20"/>
          <w:color w:val="auto"/>
        </w:rPr>
        <w:tab/>
      </w:r>
      <w:r>
        <w:rPr>
          <w:rFonts w:ascii="Arial" w:cs="Arial" w:eastAsia="Arial" w:hAnsi="Arial"/>
          <w:sz w:val="18"/>
          <w:szCs w:val="18"/>
          <w:color w:val="auto"/>
        </w:rPr>
        <w:t>(Commission File Number)</w:t>
      </w:r>
      <w:r>
        <w:rPr>
          <w:sz w:val="20"/>
          <w:szCs w:val="20"/>
          <w:color w:val="auto"/>
        </w:rPr>
        <w:tab/>
      </w:r>
      <w:r>
        <w:rPr>
          <w:rFonts w:ascii="Arial" w:cs="Arial" w:eastAsia="Arial" w:hAnsi="Arial"/>
          <w:sz w:val="16"/>
          <w:szCs w:val="16"/>
          <w:color w:val="auto"/>
        </w:rPr>
        <w:t>(I.R.S. Employer Identification Number)</w:t>
      </w:r>
    </w:p>
    <w:p>
      <w:pPr>
        <w:spacing w:after="0" w:line="240"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Three Allen Center</w:t>
      </w:r>
    </w:p>
    <w:p>
      <w:pPr>
        <w:spacing w:after="0" w:line="21"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333 Clay Street, Suite 4980</w:t>
      </w:r>
    </w:p>
    <w:p>
      <w:pPr>
        <w:spacing w:after="0" w:line="9"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(Address and zip code of principal executive offices)</w:t>
      </w:r>
    </w:p>
    <w:p>
      <w:pPr>
        <w:spacing w:after="0" w:line="213"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510-2400</w:t>
      </w:r>
    </w:p>
    <w:p>
      <w:pPr>
        <w:spacing w:after="0" w:line="200" w:lineRule="exact"/>
        <w:rPr>
          <w:sz w:val="24"/>
          <w:szCs w:val="24"/>
          <w:color w:val="auto"/>
        </w:rPr>
      </w:pPr>
    </w:p>
    <w:p>
      <w:pPr>
        <w:spacing w:after="0" w:line="268" w:lineRule="exact"/>
        <w:rPr>
          <w:sz w:val="24"/>
          <w:szCs w:val="24"/>
          <w:color w:val="auto"/>
        </w:rPr>
      </w:pPr>
    </w:p>
    <w:p>
      <w:pPr>
        <w:ind w:left="2200"/>
        <w:spacing w:after="0"/>
        <w:rPr>
          <w:sz w:val="20"/>
          <w:szCs w:val="20"/>
          <w:color w:val="auto"/>
        </w:rPr>
      </w:pPr>
      <w:r>
        <w:rPr>
          <w:rFonts w:ascii="Arial" w:cs="Arial" w:eastAsia="Arial" w:hAnsi="Arial"/>
          <w:sz w:val="18"/>
          <w:szCs w:val="18"/>
          <w:b w:val="1"/>
          <w:bCs w:val="1"/>
          <w:color w:val="auto"/>
        </w:rPr>
        <w:t>________________________________________________________________________________</w:t>
      </w:r>
    </w:p>
    <w:p>
      <w:pPr>
        <w:spacing w:after="0" w:line="21"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62" w:lineRule="exact"/>
        <w:rPr>
          <w:sz w:val="24"/>
          <w:szCs w:val="24"/>
          <w:color w:val="auto"/>
        </w:rPr>
      </w:pPr>
    </w:p>
    <w:p>
      <w:pPr>
        <w:ind w:right="12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080" w:type="dxa"/>
            <w:vAlign w:val="bottom"/>
          </w:tcPr>
          <w:p>
            <w:pPr>
              <w:ind w:left="20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080" w:type="dxa"/>
            <w:vAlign w:val="bottom"/>
          </w:tcPr>
          <w:p>
            <w:pPr>
              <w:ind w:left="20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080" w:type="dxa"/>
            <w:vAlign w:val="bottom"/>
          </w:tcPr>
          <w:p>
            <w:pPr>
              <w:ind w:left="200"/>
              <w:spacing w:after="0"/>
              <w:rPr>
                <w:sz w:val="20"/>
                <w:szCs w:val="20"/>
                <w:color w:val="auto"/>
              </w:rPr>
            </w:pPr>
            <w:r>
              <w:rPr>
                <w:rFonts w:ascii="Arial" w:cs="Arial" w:eastAsia="Arial" w:hAnsi="Arial"/>
                <w:sz w:val="18"/>
                <w:szCs w:val="18"/>
                <w:color w:val="auto"/>
                <w:w w:val="88"/>
              </w:rPr>
              <w:t>Pre-commencement communications pursuant to Rule 14d-2(b) under the Exchange Act (17 CFR 240.14d-2(b))</w:t>
            </w:r>
          </w:p>
        </w:tc>
      </w:tr>
      <w:tr>
        <w:trPr>
          <w:trHeight w:val="222"/>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080" w:type="dxa"/>
            <w:vAlign w:val="bottom"/>
          </w:tcPr>
          <w:p>
            <w:pPr>
              <w:ind w:left="200"/>
              <w:spacing w:after="0"/>
              <w:rPr>
                <w:sz w:val="20"/>
                <w:szCs w:val="20"/>
                <w:color w:val="auto"/>
              </w:rPr>
            </w:pPr>
            <w:r>
              <w:rPr>
                <w:rFonts w:ascii="Arial" w:cs="Arial" w:eastAsia="Arial" w:hAnsi="Arial"/>
                <w:sz w:val="18"/>
                <w:szCs w:val="18"/>
                <w:color w:val="auto"/>
                <w:w w:val="88"/>
              </w:rPr>
              <w:t>Pre-commencement communications pursuant to Rule 13e-4(c) under the Exchange Act (17 CFR 240.13e-4(c))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349"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25" w:lineRule="exact"/>
        <w:rPr>
          <w:sz w:val="24"/>
          <w:szCs w:val="24"/>
          <w:color w:val="auto"/>
        </w:rPr>
      </w:pPr>
    </w:p>
    <w:p>
      <w:pPr>
        <w:ind w:right="120"/>
        <w:spacing w:after="0" w:line="370" w:lineRule="auto"/>
        <w:rPr>
          <w:sz w:val="20"/>
          <w:szCs w:val="20"/>
          <w:color w:val="auto"/>
        </w:rPr>
      </w:pPr>
      <w:r>
        <w:rPr>
          <w:rFonts w:ascii="Arial" w:cs="Arial" w:eastAsia="Arial" w:hAnsi="Arial"/>
          <w:sz w:val="15"/>
          <w:szCs w:val="15"/>
          <w:color w:val="auto"/>
        </w:rPr>
        <w:t>On November 5, 2014, Civeo Corporation (the "Company") issued a press release announcing its financial condition and results of operations for the quarter ended September 30, 2014. A copy of the press release is furnished as Exhibit 99.1 to this report on Form 8-K, and is incorporated herein by reference.</w:t>
      </w:r>
    </w:p>
    <w:p>
      <w:pPr>
        <w:spacing w:after="0" w:line="116"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The information contained in this report and the exhibit hereto shall not be deemed to be "filed" for purposes of Section 18 of the Securities Exchange Act of 1934, as amended, and shall not be incorporated by reference into any filings made by Civeo Corporation under the Securities Act of 1933, as amended, or the Exchange Act, except as may be expressly set forth by specific reference in such filing.</w:t>
      </w:r>
    </w:p>
    <w:p>
      <w:pPr>
        <w:spacing w:after="0" w:line="175"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25"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920" w:type="dxa"/>
            <w:vAlign w:val="bottom"/>
            <w:gridSpan w:val="2"/>
          </w:tcPr>
          <w:p>
            <w:pPr>
              <w:spacing w:after="0"/>
              <w:rPr>
                <w:sz w:val="20"/>
                <w:szCs w:val="20"/>
                <w:color w:val="auto"/>
              </w:rPr>
            </w:pPr>
            <w:r>
              <w:rPr>
                <w:rFonts w:ascii="Arial" w:cs="Arial" w:eastAsia="Arial" w:hAnsi="Arial"/>
                <w:sz w:val="16"/>
                <w:szCs w:val="16"/>
                <w:color w:val="auto"/>
              </w:rPr>
              <w:t>Exhibit</w:t>
            </w:r>
          </w:p>
        </w:tc>
        <w:tc>
          <w:tcPr>
            <w:tcW w:w="4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72"/>
        </w:trPr>
        <w:tc>
          <w:tcPr>
            <w:tcW w:w="540" w:type="dxa"/>
            <w:vAlign w:val="bottom"/>
          </w:tcPr>
          <w:p>
            <w:pPr>
              <w:spacing w:after="0" w:line="172" w:lineRule="exact"/>
              <w:rPr>
                <w:sz w:val="20"/>
                <w:szCs w:val="20"/>
                <w:color w:val="auto"/>
              </w:rPr>
            </w:pPr>
            <w:r>
              <w:rPr>
                <w:rFonts w:ascii="Arial" w:cs="Arial" w:eastAsia="Arial" w:hAnsi="Arial"/>
                <w:sz w:val="16"/>
                <w:szCs w:val="16"/>
                <w:color w:val="auto"/>
                <w:w w:val="91"/>
              </w:rPr>
              <w:t>Number</w:t>
            </w:r>
          </w:p>
        </w:tc>
        <w:tc>
          <w:tcPr>
            <w:tcW w:w="380" w:type="dxa"/>
            <w:vAlign w:val="bottom"/>
          </w:tcPr>
          <w:p>
            <w:pPr>
              <w:spacing w:after="0"/>
              <w:rPr>
                <w:sz w:val="14"/>
                <w:szCs w:val="14"/>
                <w:color w:val="auto"/>
              </w:rPr>
            </w:pPr>
          </w:p>
        </w:tc>
        <w:tc>
          <w:tcPr>
            <w:tcW w:w="2920" w:type="dxa"/>
            <w:vAlign w:val="bottom"/>
            <w:gridSpan w:val="3"/>
          </w:tcPr>
          <w:p>
            <w:pPr>
              <w:ind w:left="400"/>
              <w:spacing w:after="0" w:line="172" w:lineRule="exact"/>
              <w:rPr>
                <w:sz w:val="20"/>
                <w:szCs w:val="20"/>
                <w:color w:val="auto"/>
              </w:rPr>
            </w:pPr>
            <w:r>
              <w:rPr>
                <w:rFonts w:ascii="Arial" w:cs="Arial" w:eastAsia="Arial" w:hAnsi="Arial"/>
                <w:sz w:val="16"/>
                <w:szCs w:val="16"/>
                <w:color w:val="auto"/>
              </w:rPr>
              <w:t>Description of Document</w:t>
            </w:r>
          </w:p>
        </w:tc>
      </w:tr>
      <w:tr>
        <w:trPr>
          <w:trHeight w:val="20"/>
        </w:trPr>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636"/>
        </w:trPr>
        <w:tc>
          <w:tcPr>
            <w:tcW w:w="540" w:type="dxa"/>
            <w:vAlign w:val="bottom"/>
          </w:tcPr>
          <w:p>
            <w:pPr>
              <w:spacing w:after="0"/>
              <w:rPr>
                <w:sz w:val="20"/>
                <w:szCs w:val="20"/>
                <w:color w:val="auto"/>
              </w:rPr>
            </w:pPr>
            <w:r>
              <w:rPr>
                <w:rFonts w:ascii="Arial" w:cs="Arial" w:eastAsia="Arial" w:hAnsi="Arial"/>
                <w:sz w:val="16"/>
                <w:szCs w:val="16"/>
                <w:color w:val="auto"/>
              </w:rPr>
              <w:t>99.1</w:t>
            </w:r>
          </w:p>
        </w:tc>
        <w:tc>
          <w:tcPr>
            <w:tcW w:w="380" w:type="dxa"/>
            <w:vAlign w:val="bottom"/>
          </w:tcPr>
          <w:p>
            <w:pPr>
              <w:spacing w:after="0"/>
              <w:rPr>
                <w:sz w:val="24"/>
                <w:szCs w:val="24"/>
                <w:color w:val="auto"/>
              </w:rPr>
            </w:pPr>
          </w:p>
        </w:tc>
        <w:tc>
          <w:tcPr>
            <w:tcW w:w="2920" w:type="dxa"/>
            <w:vAlign w:val="bottom"/>
            <w:gridSpan w:val="3"/>
          </w:tcPr>
          <w:p>
            <w:pPr>
              <w:ind w:left="400"/>
              <w:spacing w:after="0"/>
              <w:rPr>
                <w:sz w:val="20"/>
                <w:szCs w:val="20"/>
                <w:color w:val="auto"/>
              </w:rPr>
            </w:pPr>
            <w:r>
              <w:rPr>
                <w:rFonts w:ascii="Arial" w:cs="Arial" w:eastAsia="Arial" w:hAnsi="Arial"/>
                <w:sz w:val="16"/>
                <w:szCs w:val="16"/>
                <w:color w:val="auto"/>
                <w:w w:val="87"/>
              </w:rPr>
              <w:t>Press Release dated November 5, 2014</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4"/>
          <w:szCs w:val="24"/>
          <w:color w:val="auto"/>
        </w:rPr>
      </w:pPr>
    </w:p>
    <w:p>
      <w:pPr>
        <w:ind w:right="20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4"/>
          <w:szCs w:val="24"/>
          <w:color w:val="auto"/>
        </w:rPr>
      </w:pPr>
    </w:p>
    <w:p>
      <w:pPr>
        <w:spacing w:after="0"/>
        <w:tabs>
          <w:tab w:leader="none" w:pos="5400" w:val="left"/>
        </w:tabs>
        <w:rPr>
          <w:sz w:val="20"/>
          <w:szCs w:val="20"/>
          <w:color w:val="auto"/>
        </w:rPr>
      </w:pPr>
      <w:r>
        <w:rPr>
          <w:rFonts w:ascii="Arial" w:cs="Arial" w:eastAsia="Arial" w:hAnsi="Arial"/>
          <w:sz w:val="18"/>
          <w:szCs w:val="18"/>
          <w:color w:val="auto"/>
        </w:rPr>
        <w:t>Date: November 6, 2014</w:t>
      </w:r>
      <w:r>
        <w:rPr>
          <w:sz w:val="20"/>
          <w:szCs w:val="20"/>
          <w:color w:val="auto"/>
        </w:rPr>
        <w:tab/>
      </w:r>
      <w:r>
        <w:rPr>
          <w:rFonts w:ascii="Arial" w:cs="Arial" w:eastAsia="Arial" w:hAnsi="Arial"/>
          <w:sz w:val="16"/>
          <w:szCs w:val="16"/>
          <w:b w:val="1"/>
          <w:bCs w:val="1"/>
          <w:color w:val="auto"/>
        </w:rPr>
        <w:t>Civeo Corporation</w:t>
      </w:r>
    </w:p>
    <w:p>
      <w:pPr>
        <w:spacing w:after="0" w:line="231" w:lineRule="exact"/>
        <w:rPr>
          <w:sz w:val="24"/>
          <w:szCs w:val="24"/>
          <w:color w:val="auto"/>
        </w:rPr>
      </w:pPr>
    </w:p>
    <w:p>
      <w:pPr>
        <w:ind w:left="5460"/>
        <w:spacing w:after="0"/>
        <w:tabs>
          <w:tab w:leader="none" w:pos="5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FRANK C. STEININGER</w:t>
      </w:r>
    </w:p>
    <w:p>
      <w:pPr>
        <w:spacing w:after="0" w:line="15" w:lineRule="exact"/>
        <w:rPr>
          <w:sz w:val="24"/>
          <w:szCs w:val="24"/>
          <w:color w:val="auto"/>
        </w:rPr>
      </w:pPr>
    </w:p>
    <w:p>
      <w:pPr>
        <w:ind w:left="6000"/>
        <w:spacing w:after="0"/>
        <w:rPr>
          <w:sz w:val="20"/>
          <w:szCs w:val="20"/>
          <w:color w:val="auto"/>
        </w:rPr>
      </w:pPr>
      <w:r>
        <w:rPr>
          <w:rFonts w:ascii="Arial" w:cs="Arial" w:eastAsia="Arial" w:hAnsi="Arial"/>
          <w:sz w:val="18"/>
          <w:szCs w:val="18"/>
          <w:color w:val="auto"/>
        </w:rPr>
        <w:t>Frank C. Steininger</w:t>
      </w:r>
    </w:p>
    <w:p>
      <w:pPr>
        <w:spacing w:after="0" w:line="9" w:lineRule="exact"/>
        <w:rPr>
          <w:sz w:val="24"/>
          <w:szCs w:val="24"/>
          <w:color w:val="auto"/>
        </w:rPr>
      </w:pPr>
    </w:p>
    <w:p>
      <w:pPr>
        <w:ind w:left="6000"/>
        <w:spacing w:after="0"/>
        <w:rPr>
          <w:sz w:val="20"/>
          <w:szCs w:val="20"/>
          <w:color w:val="auto"/>
        </w:rPr>
      </w:pPr>
      <w:r>
        <w:rPr>
          <w:rFonts w:ascii="Arial" w:cs="Arial" w:eastAsia="Arial" w:hAnsi="Arial"/>
          <w:sz w:val="18"/>
          <w:szCs w:val="18"/>
          <w:color w:val="auto"/>
        </w:rPr>
        <w:t>Senior Vice President, Chief Financial</w:t>
      </w:r>
    </w:p>
    <w:p>
      <w:pPr>
        <w:spacing w:after="0" w:line="9" w:lineRule="exact"/>
        <w:rPr>
          <w:sz w:val="24"/>
          <w:szCs w:val="24"/>
          <w:color w:val="auto"/>
        </w:rPr>
      </w:pPr>
    </w:p>
    <w:p>
      <w:pPr>
        <w:ind w:left="6000"/>
        <w:spacing w:after="0"/>
        <w:rPr>
          <w:sz w:val="20"/>
          <w:szCs w:val="20"/>
          <w:color w:val="auto"/>
        </w:rPr>
      </w:pPr>
      <w:r>
        <w:rPr>
          <w:rFonts w:ascii="Arial" w:cs="Arial" w:eastAsia="Arial" w:hAnsi="Arial"/>
          <w:sz w:val="18"/>
          <w:szCs w:val="18"/>
          <w:color w:val="auto"/>
        </w:rPr>
        <w:t>Officer and Treasurer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64770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74"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Index to Exhibits</w:t>
      </w:r>
    </w:p>
    <w:p>
      <w:pPr>
        <w:sectPr>
          <w:pgSz w:w="11900" w:h="16871" w:orient="portrait"/>
          <w:cols w:equalWidth="0" w:num="1">
            <w:col w:w="11140"/>
          </w:cols>
          <w:pgMar w:left="240" w:top="220" w:right="519" w:bottom="0" w:gutter="0" w:footer="0" w:header="0"/>
        </w:sectPr>
      </w:pPr>
    </w:p>
    <w:p>
      <w:pPr>
        <w:spacing w:after="0" w:line="189" w:lineRule="exact"/>
        <w:rPr>
          <w:sz w:val="24"/>
          <w:szCs w:val="24"/>
          <w:color w:val="auto"/>
        </w:rPr>
      </w:pPr>
    </w:p>
    <w:p>
      <w:pPr>
        <w:spacing w:after="0"/>
        <w:rPr>
          <w:sz w:val="20"/>
          <w:szCs w:val="20"/>
          <w:color w:val="auto"/>
        </w:rPr>
      </w:pPr>
      <w:r>
        <w:rPr>
          <w:rFonts w:ascii="Arial" w:cs="Arial" w:eastAsia="Arial" w:hAnsi="Arial"/>
          <w:sz w:val="15"/>
          <w:szCs w:val="15"/>
          <w:color w:val="auto"/>
        </w:rPr>
        <w:t>Exhibit</w:t>
      </w:r>
    </w:p>
    <w:p>
      <w:pPr>
        <w:sectPr>
          <w:pgSz w:w="11900" w:h="16871" w:orient="portrait"/>
          <w:cols w:equalWidth="0" w:num="1">
            <w:col w:w="11140"/>
          </w:cols>
          <w:pgMar w:left="240" w:top="220" w:right="51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540" w:type="dxa"/>
            <w:vAlign w:val="bottom"/>
          </w:tcPr>
          <w:p>
            <w:pPr>
              <w:spacing w:after="0"/>
              <w:rPr>
                <w:sz w:val="20"/>
                <w:szCs w:val="20"/>
                <w:color w:val="auto"/>
              </w:rPr>
            </w:pPr>
            <w:r>
              <w:rPr>
                <w:rFonts w:ascii="Arial" w:cs="Arial" w:eastAsia="Arial" w:hAnsi="Arial"/>
                <w:sz w:val="16"/>
                <w:szCs w:val="16"/>
                <w:color w:val="auto"/>
                <w:w w:val="91"/>
              </w:rPr>
              <w:t>Number</w:t>
            </w:r>
          </w:p>
        </w:tc>
        <w:tc>
          <w:tcPr>
            <w:tcW w:w="380" w:type="dxa"/>
            <w:vAlign w:val="bottom"/>
          </w:tcPr>
          <w:p>
            <w:pPr>
              <w:spacing w:after="0"/>
              <w:rPr>
                <w:sz w:val="16"/>
                <w:szCs w:val="16"/>
                <w:color w:val="auto"/>
              </w:rPr>
            </w:pPr>
          </w:p>
        </w:tc>
        <w:tc>
          <w:tcPr>
            <w:tcW w:w="2920" w:type="dxa"/>
            <w:vAlign w:val="bottom"/>
            <w:gridSpan w:val="3"/>
          </w:tcPr>
          <w:p>
            <w:pPr>
              <w:ind w:left="400"/>
              <w:spacing w:after="0"/>
              <w:rPr>
                <w:sz w:val="20"/>
                <w:szCs w:val="20"/>
                <w:color w:val="auto"/>
              </w:rPr>
            </w:pPr>
            <w:r>
              <w:rPr>
                <w:rFonts w:ascii="Arial" w:cs="Arial" w:eastAsia="Arial" w:hAnsi="Arial"/>
                <w:sz w:val="16"/>
                <w:szCs w:val="16"/>
                <w:color w:val="auto"/>
              </w:rPr>
              <w:t>Description of Document</w:t>
            </w:r>
          </w:p>
        </w:tc>
      </w:tr>
      <w:tr>
        <w:trPr>
          <w:trHeight w:val="20"/>
        </w:trPr>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649"/>
        </w:trPr>
        <w:tc>
          <w:tcPr>
            <w:tcW w:w="540" w:type="dxa"/>
            <w:vAlign w:val="bottom"/>
          </w:tcPr>
          <w:p>
            <w:pPr>
              <w:spacing w:after="0"/>
              <w:rPr>
                <w:sz w:val="20"/>
                <w:szCs w:val="20"/>
                <w:color w:val="auto"/>
              </w:rPr>
            </w:pPr>
            <w:r>
              <w:rPr>
                <w:rFonts w:ascii="Arial" w:cs="Arial" w:eastAsia="Arial" w:hAnsi="Arial"/>
                <w:sz w:val="16"/>
                <w:szCs w:val="16"/>
                <w:color w:val="auto"/>
              </w:rPr>
              <w:t>99.1</w:t>
            </w:r>
          </w:p>
        </w:tc>
        <w:tc>
          <w:tcPr>
            <w:tcW w:w="380" w:type="dxa"/>
            <w:vAlign w:val="bottom"/>
          </w:tcPr>
          <w:p>
            <w:pPr>
              <w:spacing w:after="0"/>
              <w:rPr>
                <w:sz w:val="24"/>
                <w:szCs w:val="24"/>
                <w:color w:val="auto"/>
              </w:rPr>
            </w:pPr>
          </w:p>
        </w:tc>
        <w:tc>
          <w:tcPr>
            <w:tcW w:w="2920" w:type="dxa"/>
            <w:vAlign w:val="bottom"/>
            <w:gridSpan w:val="3"/>
          </w:tcPr>
          <w:p>
            <w:pPr>
              <w:ind w:left="400"/>
              <w:spacing w:after="0"/>
              <w:rPr>
                <w:sz w:val="20"/>
                <w:szCs w:val="20"/>
                <w:color w:val="auto"/>
              </w:rPr>
            </w:pPr>
            <w:r>
              <w:rPr>
                <w:rFonts w:ascii="Arial" w:cs="Arial" w:eastAsia="Arial" w:hAnsi="Arial"/>
                <w:sz w:val="16"/>
                <w:szCs w:val="16"/>
                <w:color w:val="auto"/>
                <w:w w:val="87"/>
              </w:rPr>
              <w:t>Press Release dated November 5, 2014</w:t>
            </w:r>
          </w:p>
        </w:tc>
      </w:tr>
    </w:tbl>
    <w:p>
      <w:pPr>
        <w:sectPr>
          <w:pgSz w:w="11900" w:h="16838" w:orient="portrait"/>
          <w:cols w:equalWidth="0" w:num="1">
            <w:col w:w="10219"/>
          </w:cols>
          <w:pgMar w:left="240" w:top="118" w:right="1440"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color w:val="auto"/>
        </w:rPr>
        <w:t>EXHIBIT 99.1</w:t>
      </w:r>
    </w:p>
    <w:p>
      <w:pPr>
        <w:spacing w:after="0" w:line="245" w:lineRule="exact"/>
        <w:rPr>
          <w:sz w:val="20"/>
          <w:szCs w:val="20"/>
          <w:color w:val="auto"/>
        </w:rPr>
      </w:pPr>
    </w:p>
    <w:p>
      <w:pPr>
        <w:ind w:left="3140"/>
        <w:spacing w:after="0"/>
        <w:rPr>
          <w:sz w:val="20"/>
          <w:szCs w:val="20"/>
          <w:color w:val="auto"/>
        </w:rPr>
      </w:pPr>
      <w:r>
        <w:rPr>
          <w:rFonts w:ascii="Arial" w:cs="Arial" w:eastAsia="Arial" w:hAnsi="Arial"/>
          <w:sz w:val="25"/>
          <w:szCs w:val="25"/>
          <w:b w:val="1"/>
          <w:bCs w:val="1"/>
          <w:color w:val="auto"/>
        </w:rPr>
        <w:t>Civeo Announces Third Quarter 2014 Earnings</w:t>
      </w:r>
    </w:p>
    <w:p>
      <w:pPr>
        <w:spacing w:after="0" w:line="255" w:lineRule="exact"/>
        <w:rPr>
          <w:sz w:val="20"/>
          <w:szCs w:val="20"/>
          <w:color w:val="auto"/>
        </w:rPr>
      </w:pPr>
    </w:p>
    <w:p>
      <w:pPr>
        <w:ind w:left="540" w:right="3620"/>
        <w:spacing w:after="0" w:line="241" w:lineRule="auto"/>
        <w:rPr>
          <w:sz w:val="20"/>
          <w:szCs w:val="20"/>
          <w:color w:val="auto"/>
        </w:rPr>
      </w:pPr>
      <w:r>
        <w:rPr>
          <w:rFonts w:ascii="Arial" w:cs="Arial" w:eastAsia="Arial" w:hAnsi="Arial"/>
          <w:sz w:val="22"/>
          <w:szCs w:val="22"/>
          <w:color w:val="auto"/>
        </w:rPr>
        <w:t>Third quarter results exceeded previous quarterly guidance and consensus estimates Maintaining fourth quarter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-260985</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-106680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color w:val="auto"/>
        </w:rPr>
        <w:t>Announcing 4</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quarter dividend of $0.13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-181610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56"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HOUSTON, Nov. 5, 2014 (GLOBE NEWSWIRE) -- Civeo Corporation (NYSE:CVEO) reported net income for the quarter ended September 30, 2014 of $32.4 million, or $0.30 per diluted share. These results compare to net income of $39.6 million, or $0.37 per diluted share, for the third quarter of 2013.</w:t>
      </w:r>
    </w:p>
    <w:p>
      <w:pPr>
        <w:spacing w:after="0" w:line="186" w:lineRule="exact"/>
        <w:rPr>
          <w:sz w:val="20"/>
          <w:szCs w:val="20"/>
          <w:color w:val="auto"/>
        </w:rPr>
      </w:pPr>
    </w:p>
    <w:p>
      <w:pPr>
        <w:ind w:right="40"/>
        <w:spacing w:after="0" w:line="277" w:lineRule="auto"/>
        <w:rPr>
          <w:sz w:val="20"/>
          <w:szCs w:val="20"/>
          <w:color w:val="auto"/>
        </w:rPr>
      </w:pPr>
      <w:r>
        <w:rPr>
          <w:rFonts w:ascii="Arial" w:cs="Arial" w:eastAsia="Arial" w:hAnsi="Arial"/>
          <w:sz w:val="19"/>
          <w:szCs w:val="19"/>
          <w:color w:val="auto"/>
        </w:rPr>
        <w:t>The Company generated revenues of $243.3 million and Adjusted EBITDA of $92.5 million during the third quarter of 2014 (EBITDA is defined as net income plus interest, taxes, depreciation and amortization and Adjusted EBITDA is defined as EBITDA adjusted to exclude impairment charges and certain other costs such as those incurred associated with the spin-off). These results compare to revenues of $245.1 million and Adjusted EBITDA of $98.3 million reported in the third quarter of 2013. Revenues and Adjusted EBITDA were down year-over-year primarily due to the unfavorable impact on consolidated results of a stronger U.S. dollar compared to the Canadian dollar, resulting in a year-over-year decline of 5%, lower occupancy levels in both the Australian villages and Canadian lodges and lower average daily rates at the Canadian lodges.</w:t>
      </w:r>
    </w:p>
    <w:p>
      <w:pPr>
        <w:spacing w:after="0" w:line="153" w:lineRule="exact"/>
        <w:rPr>
          <w:sz w:val="20"/>
          <w:szCs w:val="20"/>
          <w:color w:val="auto"/>
        </w:rPr>
      </w:pPr>
    </w:p>
    <w:p>
      <w:pPr>
        <w:ind w:right="60"/>
        <w:spacing w:after="0" w:line="275" w:lineRule="auto"/>
        <w:rPr>
          <w:sz w:val="20"/>
          <w:szCs w:val="20"/>
          <w:color w:val="auto"/>
        </w:rPr>
      </w:pPr>
      <w:r>
        <w:rPr>
          <w:rFonts w:ascii="Arial" w:cs="Arial" w:eastAsia="Arial" w:hAnsi="Arial"/>
          <w:sz w:val="19"/>
          <w:szCs w:val="19"/>
          <w:color w:val="auto"/>
        </w:rPr>
        <w:t>The Company's President and Chief Executive Officer, Bradley J. Dodson, stated, "Civeo generated better than expected results for the third quarter of 2014. Occupancy and margins for our Canadian operations were better than expected coupled with increased contributions from the McClelland Lake Lodge. Our operations in Australia performed better than expected due to higher occupancy and margins coupled with cost containment efforts. The U.S. operations were as expected. As previously discussed, we continue to expect lower earnings in the fourth quarter as activity in the Canadian oil sands' region softens coupled with holiday downtime. We are maintaining our initial fourth quarter guidance of $200 million to $210 million of revenues with EBITDA margins of 32% to 34%. We continue to monitor lower oil and metallurgical coal prices and their potential impact on customer spending announcements as we look for clarity around 2015 activity levels."</w:t>
      </w:r>
    </w:p>
    <w:p>
      <w:pPr>
        <w:spacing w:after="0" w:line="158" w:lineRule="exact"/>
        <w:rPr>
          <w:sz w:val="20"/>
          <w:szCs w:val="20"/>
          <w:color w:val="auto"/>
        </w:rPr>
      </w:pPr>
    </w:p>
    <w:p>
      <w:pPr>
        <w:ind w:right="140"/>
        <w:spacing w:after="0" w:line="238" w:lineRule="auto"/>
        <w:rPr>
          <w:sz w:val="20"/>
          <w:szCs w:val="20"/>
          <w:color w:val="auto"/>
        </w:rPr>
      </w:pPr>
      <w:r>
        <w:rPr>
          <w:rFonts w:ascii="Arial" w:cs="Arial" w:eastAsia="Arial" w:hAnsi="Arial"/>
          <w:sz w:val="22"/>
          <w:szCs w:val="22"/>
          <w:color w:val="auto"/>
        </w:rPr>
        <w:t>Mr. Dodson continued, "At the end of the quarter, we were pleased to complete our thorough analysis of our structural alternatives and have begun our efforts to redomicile to Canada. Moving the company to Canada will provide operational and financial efficiencies as well as an optimal tax position. We expect to complete the migration to Canada in the second or third quarter of 2015."</w:t>
      </w:r>
    </w:p>
    <w:p>
      <w:pPr>
        <w:spacing w:after="0" w:line="185" w:lineRule="exact"/>
        <w:rPr>
          <w:sz w:val="20"/>
          <w:szCs w:val="20"/>
          <w:color w:val="auto"/>
        </w:rPr>
      </w:pPr>
    </w:p>
    <w:p>
      <w:pPr>
        <w:ind w:right="60"/>
        <w:spacing w:after="0" w:line="275" w:lineRule="auto"/>
        <w:rPr>
          <w:sz w:val="20"/>
          <w:szCs w:val="20"/>
          <w:color w:val="auto"/>
        </w:rPr>
      </w:pPr>
      <w:r>
        <w:rPr>
          <w:rFonts w:ascii="Arial" w:cs="Arial" w:eastAsia="Arial" w:hAnsi="Arial"/>
          <w:sz w:val="19"/>
          <w:szCs w:val="19"/>
          <w:color w:val="auto"/>
        </w:rPr>
        <w:t>For the first nine months of 2014, the Company reported revenues of $723.2 million, Adjusted EBITDA of $262.0 million and net income of $82.6 million, or $0.77 per diluted share, which included a $0.12 per diluted share after-tax loss from transition costs, debt extinguishment costs and an impairment incurred in connection with the spin-off from Oil States, a $0.03 per diluted share after-tax loss from severance costs associated with the termination of an executive, and a $0.02 per diluted share after-tax loss from the impairment of assets, and for which the return or reimbursement is unlikely. For the first nine months of 2013, the Company reported revenues of $782.6 million, Adjusted EBITDA of $319.1 million and net income of $136.4 million, or $1.28 per diluted share, which included a pre-tax gain of $4.0 million, or $0.03 per diluted share after-tax related to the reversal of an estimated earnout liability associated with an acquisition, offset by a $0.01 per diluted share after-tax loss from debt extinguishment costs.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BUSINESS SEGMENT RESULTS</w:t>
      </w:r>
    </w:p>
    <w:p>
      <w:pPr>
        <w:spacing w:after="0" w:line="206" w:lineRule="exact"/>
        <w:rPr>
          <w:sz w:val="20"/>
          <w:szCs w:val="20"/>
          <w:color w:val="auto"/>
        </w:rPr>
      </w:pPr>
    </w:p>
    <w:p>
      <w:pPr>
        <w:ind w:right="200"/>
        <w:spacing w:after="0" w:line="251" w:lineRule="auto"/>
        <w:rPr>
          <w:sz w:val="20"/>
          <w:szCs w:val="20"/>
          <w:color w:val="auto"/>
        </w:rPr>
      </w:pPr>
      <w:r>
        <w:rPr>
          <w:rFonts w:ascii="Arial" w:cs="Arial" w:eastAsia="Arial" w:hAnsi="Arial"/>
          <w:sz w:val="22"/>
          <w:szCs w:val="22"/>
          <w:color w:val="auto"/>
        </w:rPr>
        <w:t>(Unless otherwise noted, the following discussion compares the quarterly results for the third quarter of 2014 to the results for the third quarter of 2013.)</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Canada</w:t>
      </w:r>
    </w:p>
    <w:p>
      <w:pPr>
        <w:spacing w:after="0" w:line="206"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color w:val="auto"/>
        </w:rPr>
        <w:t>The Canadian segment generated revenues of $174.1 million and EBITDA of $67.1 million for the third quarter of 2014 compared to revenues and EBITDA of $167.2 million and $65.0 million, respectively, in the third quarter of 2013. Our third quarter 2014 results were negatively impacted by a weaker Canadian dollar relative to the U.S. dollar which reduced revenues by $8.5 million and EBITDA by $3.3 million. Excluding the year-over-year impact of exchange rates, revenues would have increased $15.4 million and EBITDA would have increased $5.4 million. On a constant currency basis, the revenues increased due to $4.0 million in product revenue associated with the completion of a wastewater treatment plant, revenue associated with a pipeline related contract camp and the opening of our McClelland Lake facility. These items were partially offset by lower contracted rates and reduced occupancy at our lodges. EBITDA increased due to these items, as well as from lower selling, general and administrative expenses. SG&amp;A expenses were lower year-over-year due to a $2.0 million refund of surplus medical premiums from our Canadian medical benefits provider based on lower experience ratings coupled with lower compensation expenses. RevPAR decreased 13% year-over-year to $112 in the third quarter of 2014, compared to $128 in the third quarter of 2013. The RevPAR decrease was attributable to declining foreign exchange rates and lower average daily rates.</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Australia</w:t>
      </w:r>
    </w:p>
    <w:p>
      <w:pPr>
        <w:spacing w:after="0" w:line="206" w:lineRule="exact"/>
        <w:rPr>
          <w:sz w:val="20"/>
          <w:szCs w:val="20"/>
          <w:color w:val="auto"/>
        </w:rPr>
      </w:pPr>
    </w:p>
    <w:p>
      <w:pPr>
        <w:jc w:val="both"/>
        <w:ind w:right="140"/>
        <w:spacing w:after="0" w:line="297" w:lineRule="auto"/>
        <w:rPr>
          <w:sz w:val="20"/>
          <w:szCs w:val="20"/>
          <w:color w:val="auto"/>
        </w:rPr>
      </w:pPr>
      <w:r>
        <w:rPr>
          <w:rFonts w:ascii="Arial" w:cs="Arial" w:eastAsia="Arial" w:hAnsi="Arial"/>
          <w:sz w:val="19"/>
          <w:szCs w:val="19"/>
          <w:color w:val="auto"/>
        </w:rPr>
        <w:t>The Australian segment generated revenues of $54.0 million and Adjusted EBITDA of $27.1 million for the third quarter of 2014 compared to revenues and EBITDA of $59.7 million and $33.4 million, respectively, in the third quarter of 2013. The revenue and EBITDA declines were primarily due to lower occupancy resulting from reduced customer commitments and lower overall</w:t>
      </w:r>
    </w:p>
    <w:p>
      <w:pPr>
        <w:sectPr>
          <w:pgSz w:w="11900" w:h="16838" w:orient="portrait"/>
          <w:cols w:equalWidth="0" w:num="1">
            <w:col w:w="11420"/>
          </w:cols>
          <w:pgMar w:left="240" w:top="118" w:right="239" w:bottom="0" w:gutter="0" w:footer="0" w:header="0"/>
        </w:sectPr>
      </w:pPr>
    </w:p>
    <w:bookmarkStart w:id="3" w:name="page4"/>
    <w:bookmarkEnd w:id="3"/>
    <w:p>
      <w:pPr>
        <w:spacing w:after="0" w:line="80" w:lineRule="exact"/>
        <w:rPr>
          <w:sz w:val="20"/>
          <w:szCs w:val="20"/>
          <w:color w:val="auto"/>
        </w:rPr>
      </w:pPr>
    </w:p>
    <w:p>
      <w:pPr>
        <w:spacing w:after="0" w:line="298" w:lineRule="auto"/>
        <w:rPr>
          <w:sz w:val="20"/>
          <w:szCs w:val="20"/>
          <w:color w:val="auto"/>
        </w:rPr>
      </w:pPr>
      <w:r>
        <w:rPr>
          <w:rFonts w:ascii="Arial" w:cs="Arial" w:eastAsia="Arial" w:hAnsi="Arial"/>
          <w:sz w:val="19"/>
          <w:szCs w:val="19"/>
          <w:color w:val="auto"/>
        </w:rPr>
        <w:t>customer activity and spending in the Bowen Basin, partially offset by contributions from the Boggabri Village which opened late in the third quarter of 2013. RevPAR decreased 11% year-over-year to $63 in the third quarter of 2014, compared to $71 in the third quarter of 2013. The RevPAR decrease was attributable to lower occupancy levels for the Australian villages.</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U.S.</w:t>
      </w:r>
    </w:p>
    <w:p>
      <w:pPr>
        <w:spacing w:after="0" w:line="206" w:lineRule="exact"/>
        <w:rPr>
          <w:sz w:val="20"/>
          <w:szCs w:val="20"/>
          <w:color w:val="auto"/>
        </w:rPr>
      </w:pPr>
    </w:p>
    <w:p>
      <w:pPr>
        <w:ind w:right="480"/>
        <w:spacing w:after="0" w:line="287" w:lineRule="auto"/>
        <w:rPr>
          <w:sz w:val="20"/>
          <w:szCs w:val="20"/>
          <w:color w:val="auto"/>
        </w:rPr>
      </w:pPr>
      <w:r>
        <w:rPr>
          <w:rFonts w:ascii="Arial" w:cs="Arial" w:eastAsia="Arial" w:hAnsi="Arial"/>
          <w:sz w:val="19"/>
          <w:szCs w:val="19"/>
          <w:color w:val="auto"/>
        </w:rPr>
        <w:t>The U.S. segment generated revenues of $15.2 million and Adjusted EBITDA of $4.0 million for the third quarter of 2014 compared to revenues and EBITDA of $18.2 million and $2.1 million, respectively, in the third quarter of 2013. Despite lower revenue due to lower offshore fabrication sales, EBITDA from the U.S. segment was higher due to lower selling, general and administrative expense in 2014 compared to 2013 largely resulting from a recovery of previously reserved receivables.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INCOME TAXES</w:t>
      </w:r>
    </w:p>
    <w:p>
      <w:pPr>
        <w:spacing w:after="0" w:line="206" w:lineRule="exact"/>
        <w:rPr>
          <w:sz w:val="20"/>
          <w:szCs w:val="20"/>
          <w:color w:val="auto"/>
        </w:rPr>
      </w:pPr>
    </w:p>
    <w:p>
      <w:pPr>
        <w:ind w:right="160"/>
        <w:spacing w:after="0" w:line="328" w:lineRule="auto"/>
        <w:rPr>
          <w:sz w:val="20"/>
          <w:szCs w:val="20"/>
          <w:color w:val="auto"/>
        </w:rPr>
      </w:pPr>
      <w:r>
        <w:rPr>
          <w:rFonts w:ascii="Arial" w:cs="Arial" w:eastAsia="Arial" w:hAnsi="Arial"/>
          <w:sz w:val="19"/>
          <w:szCs w:val="19"/>
          <w:color w:val="auto"/>
        </w:rPr>
        <w:t>The Company recognized income tax expense of $9.0 million, which resulted in an effective tax rate of 21.6%, in the third quarter of 2014 compared to income tax expense of $11.4 million, and an effective tax rate of 22.2%, in the third quarter of 2013.</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FINANCIAL CONDITION</w:t>
      </w:r>
    </w:p>
    <w:p>
      <w:pPr>
        <w:spacing w:after="0" w:line="206" w:lineRule="exact"/>
        <w:rPr>
          <w:sz w:val="20"/>
          <w:szCs w:val="20"/>
          <w:color w:val="auto"/>
        </w:rPr>
      </w:pPr>
    </w:p>
    <w:p>
      <w:pPr>
        <w:jc w:val="both"/>
        <w:ind w:right="340"/>
        <w:spacing w:after="0" w:line="297" w:lineRule="auto"/>
        <w:rPr>
          <w:sz w:val="20"/>
          <w:szCs w:val="20"/>
          <w:color w:val="auto"/>
        </w:rPr>
      </w:pPr>
      <w:r>
        <w:rPr>
          <w:rFonts w:ascii="Arial" w:cs="Arial" w:eastAsia="Arial" w:hAnsi="Arial"/>
          <w:sz w:val="19"/>
          <w:szCs w:val="19"/>
          <w:color w:val="auto"/>
        </w:rPr>
        <w:t>The Company invested $66.6 million in capital expenditures during the third quarter of 2014. Spending primarily related to the ongoing expansion of the Canadian accommodations business, specifically the construction of the McClelland Lake Lodge. The Company currently expects to spend approximately $280 to $300 million in capital expenditures for the full year of 2014.</w:t>
      </w:r>
    </w:p>
    <w:p>
      <w:pPr>
        <w:spacing w:after="0" w:line="134" w:lineRule="exact"/>
        <w:rPr>
          <w:sz w:val="20"/>
          <w:szCs w:val="20"/>
          <w:color w:val="auto"/>
        </w:rPr>
      </w:pPr>
    </w:p>
    <w:p>
      <w:pPr>
        <w:ind w:right="300"/>
        <w:spacing w:after="0" w:line="251" w:lineRule="auto"/>
        <w:rPr>
          <w:sz w:val="20"/>
          <w:szCs w:val="20"/>
          <w:color w:val="auto"/>
        </w:rPr>
      </w:pPr>
      <w:r>
        <w:rPr>
          <w:rFonts w:ascii="Arial" w:cs="Arial" w:eastAsia="Arial" w:hAnsi="Arial"/>
          <w:sz w:val="22"/>
          <w:szCs w:val="22"/>
          <w:color w:val="auto"/>
        </w:rPr>
        <w:t>As of the end of the third quarter, the Company had total liquidity of approximately $885.2 million, comprised of $643.4 million available under its credit facilities and $241.8 million of cash on hand.</w:t>
      </w:r>
    </w:p>
    <w:p>
      <w:pPr>
        <w:spacing w:after="0" w:line="173" w:lineRule="exact"/>
        <w:rPr>
          <w:sz w:val="20"/>
          <w:szCs w:val="20"/>
          <w:color w:val="auto"/>
        </w:rPr>
      </w:pPr>
    </w:p>
    <w:p>
      <w:pPr>
        <w:ind w:right="420"/>
        <w:spacing w:after="0" w:line="328" w:lineRule="auto"/>
        <w:rPr>
          <w:sz w:val="20"/>
          <w:szCs w:val="20"/>
          <w:color w:val="auto"/>
        </w:rPr>
      </w:pPr>
      <w:r>
        <w:rPr>
          <w:rFonts w:ascii="Arial" w:cs="Arial" w:eastAsia="Arial" w:hAnsi="Arial"/>
          <w:sz w:val="19"/>
          <w:szCs w:val="19"/>
          <w:color w:val="auto"/>
        </w:rPr>
        <w:t>The Company announced today that its board of directors has declared a quarterly cash dividend of $0.13 per share of common stock, payable on December 2, 2014 to shareholders of record as of 5:00 p.m., New York City time, on November 17, 2014.</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CIVEO</w:t>
      </w:r>
    </w:p>
    <w:p>
      <w:pPr>
        <w:spacing w:after="0" w:line="206" w:lineRule="exact"/>
        <w:rPr>
          <w:sz w:val="20"/>
          <w:szCs w:val="20"/>
          <w:color w:val="auto"/>
        </w:rPr>
      </w:pPr>
    </w:p>
    <w:p>
      <w:pPr>
        <w:ind w:right="180"/>
        <w:spacing w:after="0" w:line="235" w:lineRule="auto"/>
        <w:rPr>
          <w:sz w:val="20"/>
          <w:szCs w:val="20"/>
          <w:color w:val="auto"/>
        </w:rPr>
      </w:pPr>
      <w:r>
        <w:rPr>
          <w:rFonts w:ascii="Arial" w:cs="Arial" w:eastAsia="Arial" w:hAnsi="Arial"/>
          <w:sz w:val="22"/>
          <w:szCs w:val="22"/>
          <w:color w:val="auto"/>
        </w:rPr>
        <w:t>Civeo Corporation is a leading provider of workforce accommodations with prominent market positions in the Canadian oil sands and the Australian natural resource regions. Civeo offers comprehensive solutions for housing hundreds or thousands of workers with its long-term and temporary accommodations and provides catering, facility management, water systems and logistics services. Civeo currently owns a total of eighteen lodges and villages in operation in Canada and Australia, with an aggregate of more than 22,000 rooms. Civeo is publicly traded under the symbol "CVEO" on the NYSE. For more information, please visit Civeo's website at http://www.civeo.com.</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FORWARD LOOKING STATEMENTS</w:t>
      </w:r>
    </w:p>
    <w:p>
      <w:pPr>
        <w:spacing w:after="0" w:line="206" w:lineRule="exact"/>
        <w:rPr>
          <w:sz w:val="20"/>
          <w:szCs w:val="20"/>
          <w:color w:val="auto"/>
        </w:rPr>
      </w:pPr>
    </w:p>
    <w:p>
      <w:pPr>
        <w:ind w:right="20"/>
        <w:spacing w:after="0" w:line="271" w:lineRule="auto"/>
        <w:rPr>
          <w:sz w:val="20"/>
          <w:szCs w:val="20"/>
          <w:color w:val="auto"/>
        </w:rPr>
      </w:pPr>
      <w:r>
        <w:rPr>
          <w:rFonts w:ascii="Arial" w:cs="Arial" w:eastAsia="Arial" w:hAnsi="Arial"/>
          <w:sz w:val="19"/>
          <w:szCs w:val="19"/>
          <w:color w:val="auto"/>
        </w:rPr>
        <w:t>The foregoing contains forward-looking statements within the meaning of the Securities Act of 1933 and Section 21E of the Securities Exchange Act of 1934. Forward-looking statements are those that do not state historical facts and are, therefore, inherently subject to risks and uncertainties. The forward-looking statements included herein are based on then current expectations and entail various risks and uncertainties that could cause actual results to differ materially from those forward-looking statements. Such risks and uncertainties include, among other things, risks associated with the Company's announced emphasis on yield as the core component of the company's value proposition and the specifics and timing of the contemplated new dividend policy, payout ratio and extent of return of capital to shareholders, risks associated with the general nature of the accommodations industry, risks associated with the execution of the redomiciling, including, among other things, risks associated with obtaining any required shareholder approval and changes in tax laws or their interpretations, risks and uncertainties associated with the terms of the arrangements entered into by the Company with JANA Partners LLC and the announcement thereof, including with respect to expanding our Board and adding three new directors to our Board, the implications, results and timing of any review by the Value Creation Committee and ultimate Board decisions regarding such review, the ability to realize the anticipated benefits of these arrangements, the impact thereof on the Company's relationships, including with employees, customers, competitors and investors, and other factors discussed in the "Business" and "Risk Factors" sections of the amended Form 10 filed by Civeo with the SEC on May 8, 2014 and within the Company's subsequent SEC filings.</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 CONDENSED CONSOLIDATED STATEMENTS OF INCOME</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80" w:type="dxa"/>
        <w:tblCellMar>
          <w:top w:w="0" w:type="dxa"/>
          <w:left w:w="0" w:type="dxa"/>
          <w:bottom w:w="0" w:type="dxa"/>
          <w:right w:w="0" w:type="dxa"/>
        </w:tblCellMar>
      </w:tblPr>
      <w:tr>
        <w:trPr>
          <w:trHeight w:val="189"/>
        </w:trPr>
        <w:tc>
          <w:tcPr>
            <w:tcW w:w="6020" w:type="dxa"/>
            <w:vAlign w:val="bottom"/>
          </w:tcPr>
          <w:p>
            <w:pPr>
              <w:spacing w:after="0"/>
              <w:rPr>
                <w:sz w:val="16"/>
                <w:szCs w:val="16"/>
                <w:color w:val="auto"/>
              </w:rPr>
            </w:pPr>
          </w:p>
        </w:tc>
        <w:tc>
          <w:tcPr>
            <w:tcW w:w="276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rPr>
              <w:t>THREE MONTHS ENDED</w:t>
            </w:r>
          </w:p>
        </w:tc>
        <w:tc>
          <w:tcPr>
            <w:tcW w:w="2480" w:type="dxa"/>
            <w:vAlign w:val="bottom"/>
            <w:gridSpan w:val="3"/>
          </w:tcPr>
          <w:p>
            <w:pPr>
              <w:jc w:val="right"/>
              <w:ind w:right="299"/>
              <w:spacing w:after="0"/>
              <w:rPr>
                <w:sz w:val="20"/>
                <w:szCs w:val="20"/>
                <w:color w:val="auto"/>
              </w:rPr>
            </w:pPr>
            <w:r>
              <w:rPr>
                <w:rFonts w:ascii="Arial" w:cs="Arial" w:eastAsia="Arial" w:hAnsi="Arial"/>
                <w:sz w:val="16"/>
                <w:szCs w:val="16"/>
                <w:b w:val="1"/>
                <w:bCs w:val="1"/>
                <w:color w:val="auto"/>
              </w:rPr>
              <w:t>NINE MONTHS ENDED</w:t>
            </w:r>
          </w:p>
        </w:tc>
      </w:tr>
      <w:tr>
        <w:trPr>
          <w:trHeight w:val="215"/>
        </w:trPr>
        <w:tc>
          <w:tcPr>
            <w:tcW w:w="6020" w:type="dxa"/>
            <w:vAlign w:val="bottom"/>
          </w:tcPr>
          <w:p>
            <w:pPr>
              <w:spacing w:after="0"/>
              <w:rPr>
                <w:sz w:val="18"/>
                <w:szCs w:val="18"/>
                <w:color w:val="auto"/>
              </w:rPr>
            </w:pPr>
          </w:p>
        </w:tc>
        <w:tc>
          <w:tcPr>
            <w:tcW w:w="276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rPr>
              <w:t>SEPTEMBER 30,</w:t>
            </w:r>
          </w:p>
        </w:tc>
        <w:tc>
          <w:tcPr>
            <w:tcW w:w="2480" w:type="dxa"/>
            <w:vAlign w:val="bottom"/>
            <w:gridSpan w:val="3"/>
          </w:tcPr>
          <w:p>
            <w:pPr>
              <w:jc w:val="right"/>
              <w:ind w:right="519"/>
              <w:spacing w:after="0"/>
              <w:rPr>
                <w:sz w:val="20"/>
                <w:szCs w:val="20"/>
                <w:color w:val="auto"/>
              </w:rPr>
            </w:pPr>
            <w:r>
              <w:rPr>
                <w:rFonts w:ascii="Arial" w:cs="Arial" w:eastAsia="Arial" w:hAnsi="Arial"/>
                <w:sz w:val="16"/>
                <w:szCs w:val="16"/>
                <w:b w:val="1"/>
                <w:bCs w:val="1"/>
                <w:color w:val="auto"/>
              </w:rPr>
              <w:t>SEPTEMBER 30,</w:t>
            </w:r>
          </w:p>
        </w:tc>
      </w:tr>
      <w:tr>
        <w:trPr>
          <w:trHeight w:val="263"/>
        </w:trPr>
        <w:tc>
          <w:tcPr>
            <w:tcW w:w="6020" w:type="dxa"/>
            <w:vAlign w:val="bottom"/>
          </w:tcPr>
          <w:p>
            <w:pPr>
              <w:spacing w:after="0"/>
              <w:rPr>
                <w:sz w:val="22"/>
                <w:szCs w:val="22"/>
                <w:color w:val="auto"/>
              </w:rPr>
            </w:pPr>
          </w:p>
        </w:tc>
        <w:tc>
          <w:tcPr>
            <w:tcW w:w="13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2014</w:t>
            </w:r>
          </w:p>
        </w:tc>
        <w:tc>
          <w:tcPr>
            <w:tcW w:w="80" w:type="dxa"/>
            <w:vAlign w:val="bottom"/>
          </w:tcPr>
          <w:p>
            <w:pPr>
              <w:spacing w:after="0"/>
              <w:rPr>
                <w:sz w:val="22"/>
                <w:szCs w:val="22"/>
                <w:color w:val="auto"/>
              </w:rPr>
            </w:pPr>
          </w:p>
        </w:tc>
        <w:tc>
          <w:tcPr>
            <w:tcW w:w="13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2013</w:t>
            </w:r>
          </w:p>
        </w:tc>
        <w:tc>
          <w:tcPr>
            <w:tcW w:w="80" w:type="dxa"/>
            <w:vAlign w:val="bottom"/>
          </w:tcPr>
          <w:p>
            <w:pPr>
              <w:spacing w:after="0"/>
              <w:rPr>
                <w:sz w:val="22"/>
                <w:szCs w:val="22"/>
                <w:color w:val="auto"/>
              </w:rPr>
            </w:pPr>
          </w:p>
        </w:tc>
        <w:tc>
          <w:tcPr>
            <w:tcW w:w="12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80" w:type="dxa"/>
            <w:vAlign w:val="bottom"/>
          </w:tcPr>
          <w:p>
            <w:pPr>
              <w:spacing w:after="0"/>
              <w:rPr>
                <w:sz w:val="22"/>
                <w:szCs w:val="22"/>
                <w:color w:val="auto"/>
              </w:rPr>
            </w:pPr>
          </w:p>
        </w:tc>
        <w:tc>
          <w:tcPr>
            <w:tcW w:w="12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2013</w:t>
            </w:r>
          </w:p>
        </w:tc>
      </w:tr>
      <w:tr>
        <w:trPr>
          <w:trHeight w:val="541"/>
        </w:trPr>
        <w:tc>
          <w:tcPr>
            <w:tcW w:w="6020" w:type="dxa"/>
            <w:vAlign w:val="bottom"/>
          </w:tcPr>
          <w:p>
            <w:pPr>
              <w:spacing w:after="0"/>
              <w:rPr>
                <w:sz w:val="20"/>
                <w:szCs w:val="20"/>
                <w:color w:val="auto"/>
              </w:rPr>
            </w:pPr>
            <w:r>
              <w:rPr>
                <w:rFonts w:ascii="Arial" w:cs="Arial" w:eastAsia="Arial" w:hAnsi="Arial"/>
                <w:sz w:val="16"/>
                <w:szCs w:val="16"/>
                <w:color w:val="auto"/>
              </w:rPr>
              <w:t>Revenues</w:t>
            </w:r>
          </w:p>
        </w:tc>
        <w:tc>
          <w:tcPr>
            <w:tcW w:w="1300" w:type="dxa"/>
            <w:vAlign w:val="bottom"/>
          </w:tcPr>
          <w:p>
            <w:pPr>
              <w:jc w:val="right"/>
              <w:spacing w:after="0"/>
              <w:rPr>
                <w:sz w:val="20"/>
                <w:szCs w:val="20"/>
                <w:color w:val="auto"/>
              </w:rPr>
            </w:pPr>
            <w:r>
              <w:rPr>
                <w:rFonts w:ascii="Arial" w:cs="Arial" w:eastAsia="Arial" w:hAnsi="Arial"/>
                <w:sz w:val="16"/>
                <w:szCs w:val="16"/>
                <w:color w:val="auto"/>
              </w:rPr>
              <w:t>$ 243,265</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$ 245,099</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$ 723,197</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$ 782,627</w:t>
            </w:r>
          </w:p>
        </w:tc>
      </w:tr>
      <w:tr>
        <w:trPr>
          <w:trHeight w:val="540"/>
        </w:trPr>
        <w:tc>
          <w:tcPr>
            <w:tcW w:w="6020" w:type="dxa"/>
            <w:vAlign w:val="bottom"/>
          </w:tcPr>
          <w:p>
            <w:pPr>
              <w:spacing w:after="0"/>
              <w:rPr>
                <w:sz w:val="20"/>
                <w:szCs w:val="20"/>
                <w:color w:val="auto"/>
              </w:rPr>
            </w:pPr>
            <w:r>
              <w:rPr>
                <w:rFonts w:ascii="Arial" w:cs="Arial" w:eastAsia="Arial" w:hAnsi="Arial"/>
                <w:sz w:val="16"/>
                <w:szCs w:val="16"/>
                <w:color w:val="auto"/>
              </w:rPr>
              <w:t>Costs and expenses:</w:t>
            </w: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6020" w:type="dxa"/>
            <w:vAlign w:val="bottom"/>
          </w:tcPr>
          <w:p>
            <w:pPr>
              <w:ind w:left="220"/>
              <w:spacing w:after="0"/>
              <w:rPr>
                <w:sz w:val="20"/>
                <w:szCs w:val="20"/>
                <w:color w:val="auto"/>
              </w:rPr>
            </w:pPr>
            <w:r>
              <w:rPr>
                <w:rFonts w:ascii="Arial" w:cs="Arial" w:eastAsia="Arial" w:hAnsi="Arial"/>
                <w:sz w:val="16"/>
                <w:szCs w:val="16"/>
                <w:color w:val="auto"/>
              </w:rPr>
              <w:t>Cost of sales and services</w:t>
            </w:r>
          </w:p>
        </w:tc>
        <w:tc>
          <w:tcPr>
            <w:tcW w:w="1300" w:type="dxa"/>
            <w:vAlign w:val="bottom"/>
          </w:tcPr>
          <w:p>
            <w:pPr>
              <w:jc w:val="right"/>
              <w:spacing w:after="0"/>
              <w:rPr>
                <w:sz w:val="20"/>
                <w:szCs w:val="20"/>
                <w:color w:val="auto"/>
              </w:rPr>
            </w:pPr>
            <w:r>
              <w:rPr>
                <w:rFonts w:ascii="Arial" w:cs="Arial" w:eastAsia="Arial" w:hAnsi="Arial"/>
                <w:sz w:val="16"/>
                <w:szCs w:val="16"/>
                <w:color w:val="auto"/>
              </w:rPr>
              <w:t>137,101</w:t>
            </w:r>
          </w:p>
        </w:tc>
        <w:tc>
          <w:tcPr>
            <w:tcW w:w="1460" w:type="dxa"/>
            <w:vAlign w:val="bottom"/>
            <w:gridSpan w:val="3"/>
          </w:tcPr>
          <w:p>
            <w:pPr>
              <w:jc w:val="right"/>
              <w:ind w:right="80"/>
              <w:spacing w:after="0"/>
              <w:rPr>
                <w:sz w:val="20"/>
                <w:szCs w:val="20"/>
                <w:color w:val="auto"/>
              </w:rPr>
            </w:pPr>
            <w:r>
              <w:rPr>
                <w:rFonts w:ascii="Arial" w:cs="Arial" w:eastAsia="Arial" w:hAnsi="Arial"/>
                <w:sz w:val="16"/>
                <w:szCs w:val="16"/>
                <w:color w:val="auto"/>
              </w:rPr>
              <w:t>132,126</w:t>
            </w: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413,916</w:t>
            </w:r>
          </w:p>
        </w:tc>
        <w:tc>
          <w:tcPr>
            <w:tcW w:w="1200" w:type="dxa"/>
            <w:vAlign w:val="bottom"/>
          </w:tcPr>
          <w:p>
            <w:pPr>
              <w:jc w:val="right"/>
              <w:spacing w:after="0"/>
              <w:rPr>
                <w:sz w:val="20"/>
                <w:szCs w:val="20"/>
                <w:color w:val="auto"/>
              </w:rPr>
            </w:pPr>
            <w:r>
              <w:rPr>
                <w:rFonts w:ascii="Arial" w:cs="Arial" w:eastAsia="Arial" w:hAnsi="Arial"/>
                <w:sz w:val="16"/>
                <w:szCs w:val="16"/>
                <w:color w:val="auto"/>
              </w:rPr>
              <w:t>415,168</w:t>
            </w:r>
          </w:p>
        </w:tc>
      </w:tr>
      <w:tr>
        <w:trPr>
          <w:trHeight w:val="270"/>
        </w:trPr>
        <w:tc>
          <w:tcPr>
            <w:tcW w:w="6020" w:type="dxa"/>
            <w:vAlign w:val="bottom"/>
          </w:tcPr>
          <w:p>
            <w:pPr>
              <w:ind w:left="220"/>
              <w:spacing w:after="0"/>
              <w:rPr>
                <w:sz w:val="20"/>
                <w:szCs w:val="20"/>
                <w:color w:val="auto"/>
              </w:rPr>
            </w:pPr>
            <w:r>
              <w:rPr>
                <w:rFonts w:ascii="Arial" w:cs="Arial" w:eastAsia="Arial" w:hAnsi="Arial"/>
                <w:sz w:val="16"/>
                <w:szCs w:val="16"/>
                <w:color w:val="auto"/>
              </w:rPr>
              <w:t>Selling, general and administrative expenses</w:t>
            </w:r>
          </w:p>
        </w:tc>
        <w:tc>
          <w:tcPr>
            <w:tcW w:w="1300" w:type="dxa"/>
            <w:vAlign w:val="bottom"/>
          </w:tcPr>
          <w:p>
            <w:pPr>
              <w:jc w:val="right"/>
              <w:spacing w:after="0"/>
              <w:rPr>
                <w:sz w:val="20"/>
                <w:szCs w:val="20"/>
                <w:color w:val="auto"/>
              </w:rPr>
            </w:pPr>
            <w:r>
              <w:rPr>
                <w:rFonts w:ascii="Arial" w:cs="Arial" w:eastAsia="Arial" w:hAnsi="Arial"/>
                <w:sz w:val="16"/>
                <w:szCs w:val="16"/>
                <w:color w:val="auto"/>
              </w:rPr>
              <w:t>13,216</w:t>
            </w:r>
          </w:p>
        </w:tc>
        <w:tc>
          <w:tcPr>
            <w:tcW w:w="1460" w:type="dxa"/>
            <w:vAlign w:val="bottom"/>
            <w:gridSpan w:val="3"/>
          </w:tcPr>
          <w:p>
            <w:pPr>
              <w:jc w:val="right"/>
              <w:ind w:right="80"/>
              <w:spacing w:after="0"/>
              <w:rPr>
                <w:sz w:val="20"/>
                <w:szCs w:val="20"/>
                <w:color w:val="auto"/>
              </w:rPr>
            </w:pPr>
            <w:r>
              <w:rPr>
                <w:rFonts w:ascii="Arial" w:cs="Arial" w:eastAsia="Arial" w:hAnsi="Arial"/>
                <w:sz w:val="16"/>
                <w:szCs w:val="16"/>
                <w:color w:val="auto"/>
              </w:rPr>
              <w:t>17,212</w:t>
            </w: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51,069</w:t>
            </w:r>
          </w:p>
        </w:tc>
        <w:tc>
          <w:tcPr>
            <w:tcW w:w="1200" w:type="dxa"/>
            <w:vAlign w:val="bottom"/>
          </w:tcPr>
          <w:p>
            <w:pPr>
              <w:jc w:val="right"/>
              <w:spacing w:after="0"/>
              <w:rPr>
                <w:sz w:val="20"/>
                <w:szCs w:val="20"/>
                <w:color w:val="auto"/>
              </w:rPr>
            </w:pPr>
            <w:r>
              <w:rPr>
                <w:rFonts w:ascii="Arial" w:cs="Arial" w:eastAsia="Arial" w:hAnsi="Arial"/>
                <w:sz w:val="16"/>
                <w:szCs w:val="16"/>
                <w:color w:val="auto"/>
              </w:rPr>
              <w:t>50,377</w:t>
            </w:r>
          </w:p>
        </w:tc>
      </w:tr>
    </w:tbl>
    <w:p>
      <w:pPr>
        <w:sectPr>
          <w:pgSz w:w="11900" w:h="16918" w:orient="portrait"/>
          <w:cols w:equalWidth="0" w:num="1">
            <w:col w:w="11420"/>
          </w:cols>
          <w:pgMar w:left="240" w:top="118"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20" w:type="dxa"/>
            <w:vAlign w:val="bottom"/>
          </w:tcPr>
          <w:p>
            <w:pPr>
              <w:ind w:left="220"/>
              <w:spacing w:after="0"/>
              <w:rPr>
                <w:sz w:val="20"/>
                <w:szCs w:val="20"/>
                <w:color w:val="auto"/>
              </w:rPr>
            </w:pPr>
            <w:r>
              <w:rPr>
                <w:rFonts w:ascii="Arial" w:cs="Arial" w:eastAsia="Arial" w:hAnsi="Arial"/>
                <w:sz w:val="16"/>
                <w:szCs w:val="16"/>
                <w:color w:val="auto"/>
              </w:rPr>
              <w:t>Spin-off and formation costs</w:t>
            </w:r>
          </w:p>
        </w:tc>
        <w:tc>
          <w:tcPr>
            <w:tcW w:w="1300" w:type="dxa"/>
            <w:vAlign w:val="bottom"/>
          </w:tcPr>
          <w:p>
            <w:pPr>
              <w:jc w:val="right"/>
              <w:spacing w:after="0"/>
              <w:rPr>
                <w:sz w:val="20"/>
                <w:szCs w:val="20"/>
                <w:color w:val="auto"/>
              </w:rPr>
            </w:pPr>
            <w:r>
              <w:rPr>
                <w:rFonts w:ascii="Arial" w:cs="Arial" w:eastAsia="Arial" w:hAnsi="Arial"/>
                <w:sz w:val="16"/>
                <w:szCs w:val="16"/>
                <w:color w:val="auto"/>
              </w:rPr>
              <w:t>1,028</w:t>
            </w: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3,497</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020" w:type="dxa"/>
            <w:vAlign w:val="bottom"/>
          </w:tcPr>
          <w:p>
            <w:pPr>
              <w:ind w:left="220"/>
              <w:spacing w:after="0"/>
              <w:rPr>
                <w:sz w:val="20"/>
                <w:szCs w:val="20"/>
                <w:color w:val="auto"/>
              </w:rPr>
            </w:pPr>
            <w:r>
              <w:rPr>
                <w:rFonts w:ascii="Arial" w:cs="Arial" w:eastAsia="Arial" w:hAnsi="Arial"/>
                <w:sz w:val="16"/>
                <w:szCs w:val="16"/>
                <w:color w:val="auto"/>
              </w:rPr>
              <w:t>Depreciation and amortization expense</w:t>
            </w:r>
          </w:p>
        </w:tc>
        <w:tc>
          <w:tcPr>
            <w:tcW w:w="1300" w:type="dxa"/>
            <w:vAlign w:val="bottom"/>
          </w:tcPr>
          <w:p>
            <w:pPr>
              <w:jc w:val="right"/>
              <w:spacing w:after="0"/>
              <w:rPr>
                <w:sz w:val="20"/>
                <w:szCs w:val="20"/>
                <w:color w:val="auto"/>
              </w:rPr>
            </w:pPr>
            <w:r>
              <w:rPr>
                <w:rFonts w:ascii="Arial" w:cs="Arial" w:eastAsia="Arial" w:hAnsi="Arial"/>
                <w:sz w:val="16"/>
                <w:szCs w:val="16"/>
                <w:color w:val="auto"/>
              </w:rPr>
              <w:t>45,758</w:t>
            </w:r>
          </w:p>
        </w:tc>
        <w:tc>
          <w:tcPr>
            <w:tcW w:w="80" w:type="dxa"/>
            <w:vAlign w:val="bottom"/>
          </w:tcPr>
          <w:p>
            <w:pPr>
              <w:spacing w:after="0"/>
              <w:rPr>
                <w:sz w:val="23"/>
                <w:szCs w:val="23"/>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6"/>
                <w:szCs w:val="16"/>
                <w:color w:val="auto"/>
              </w:rPr>
              <w:t>42,011</w:t>
            </w: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127,770</w:t>
            </w:r>
          </w:p>
        </w:tc>
        <w:tc>
          <w:tcPr>
            <w:tcW w:w="1200" w:type="dxa"/>
            <w:vAlign w:val="bottom"/>
          </w:tcPr>
          <w:p>
            <w:pPr>
              <w:jc w:val="right"/>
              <w:spacing w:after="0"/>
              <w:rPr>
                <w:sz w:val="20"/>
                <w:szCs w:val="20"/>
                <w:color w:val="auto"/>
              </w:rPr>
            </w:pPr>
            <w:r>
              <w:rPr>
                <w:rFonts w:ascii="Arial" w:cs="Arial" w:eastAsia="Arial" w:hAnsi="Arial"/>
                <w:sz w:val="16"/>
                <w:szCs w:val="16"/>
                <w:color w:val="auto"/>
              </w:rPr>
              <w:t>124,510</w:t>
            </w:r>
          </w:p>
        </w:tc>
        <w:tc>
          <w:tcPr>
            <w:tcW w:w="0" w:type="dxa"/>
            <w:vAlign w:val="bottom"/>
          </w:tcPr>
          <w:p>
            <w:pPr>
              <w:spacing w:after="0"/>
              <w:rPr>
                <w:sz w:val="1"/>
                <w:szCs w:val="1"/>
                <w:color w:val="auto"/>
              </w:rPr>
            </w:pPr>
          </w:p>
        </w:tc>
      </w:tr>
      <w:tr>
        <w:trPr>
          <w:trHeight w:val="270"/>
        </w:trPr>
        <w:tc>
          <w:tcPr>
            <w:tcW w:w="6020" w:type="dxa"/>
            <w:vAlign w:val="bottom"/>
          </w:tcPr>
          <w:p>
            <w:pPr>
              <w:ind w:left="220"/>
              <w:spacing w:after="0"/>
              <w:rPr>
                <w:sz w:val="20"/>
                <w:szCs w:val="20"/>
                <w:color w:val="auto"/>
              </w:rPr>
            </w:pPr>
            <w:r>
              <w:rPr>
                <w:rFonts w:ascii="Arial" w:cs="Arial" w:eastAsia="Arial" w:hAnsi="Arial"/>
                <w:sz w:val="16"/>
                <w:szCs w:val="16"/>
                <w:color w:val="auto"/>
              </w:rPr>
              <w:t>Impairment expense</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11,610</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6020" w:type="dxa"/>
            <w:vAlign w:val="bottom"/>
          </w:tcPr>
          <w:p>
            <w:pPr>
              <w:ind w:left="220"/>
              <w:spacing w:after="0"/>
              <w:rPr>
                <w:sz w:val="20"/>
                <w:szCs w:val="20"/>
                <w:color w:val="auto"/>
              </w:rPr>
            </w:pPr>
            <w:r>
              <w:rPr>
                <w:rFonts w:ascii="Arial" w:cs="Arial" w:eastAsia="Arial" w:hAnsi="Arial"/>
                <w:sz w:val="16"/>
                <w:szCs w:val="16"/>
                <w:color w:val="auto"/>
              </w:rPr>
              <w:t>Other operating expense (income)</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w:t>
            </w:r>
          </w:p>
        </w:tc>
        <w:tc>
          <w:tcPr>
            <w:tcW w:w="80" w:type="dxa"/>
            <w:vAlign w:val="bottom"/>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w:t>
            </w:r>
          </w:p>
        </w:tc>
        <w:tc>
          <w:tcPr>
            <w:tcW w:w="80" w:type="dxa"/>
            <w:vAlign w:val="bottom"/>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w:t>
            </w:r>
          </w:p>
        </w:tc>
        <w:tc>
          <w:tcPr>
            <w:tcW w:w="80" w:type="dxa"/>
            <w:vAlign w:val="bottom"/>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(3,205)</w:t>
            </w:r>
          </w:p>
        </w:tc>
        <w:tc>
          <w:tcPr>
            <w:tcW w:w="0" w:type="dxa"/>
            <w:vAlign w:val="bottom"/>
          </w:tcPr>
          <w:p>
            <w:pPr>
              <w:spacing w:after="0"/>
              <w:rPr>
                <w:sz w:val="1"/>
                <w:szCs w:val="1"/>
                <w:color w:val="auto"/>
              </w:rPr>
            </w:pPr>
          </w:p>
        </w:tc>
      </w:tr>
      <w:tr>
        <w:trPr>
          <w:trHeight w:val="264"/>
        </w:trPr>
        <w:tc>
          <w:tcPr>
            <w:tcW w:w="6020" w:type="dxa"/>
            <w:vAlign w:val="bottom"/>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197,268</w:t>
            </w:r>
          </w:p>
        </w:tc>
        <w:tc>
          <w:tcPr>
            <w:tcW w:w="80" w:type="dxa"/>
            <w:vAlign w:val="bottom"/>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191,715</w:t>
            </w:r>
          </w:p>
        </w:tc>
        <w:tc>
          <w:tcPr>
            <w:tcW w:w="80" w:type="dxa"/>
            <w:vAlign w:val="bottom"/>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608,114</w:t>
            </w:r>
          </w:p>
        </w:tc>
        <w:tc>
          <w:tcPr>
            <w:tcW w:w="80" w:type="dxa"/>
            <w:vAlign w:val="bottom"/>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586,850</w:t>
            </w:r>
          </w:p>
        </w:tc>
        <w:tc>
          <w:tcPr>
            <w:tcW w:w="0" w:type="dxa"/>
            <w:vAlign w:val="bottom"/>
          </w:tcPr>
          <w:p>
            <w:pPr>
              <w:spacing w:after="0"/>
              <w:rPr>
                <w:sz w:val="1"/>
                <w:szCs w:val="1"/>
                <w:color w:val="auto"/>
              </w:rPr>
            </w:pPr>
          </w:p>
        </w:tc>
      </w:tr>
      <w:tr>
        <w:trPr>
          <w:trHeight w:val="271"/>
        </w:trPr>
        <w:tc>
          <w:tcPr>
            <w:tcW w:w="6020" w:type="dxa"/>
            <w:vAlign w:val="bottom"/>
          </w:tcPr>
          <w:p>
            <w:pPr>
              <w:spacing w:after="0"/>
              <w:rPr>
                <w:sz w:val="20"/>
                <w:szCs w:val="20"/>
                <w:color w:val="auto"/>
              </w:rPr>
            </w:pPr>
            <w:r>
              <w:rPr>
                <w:rFonts w:ascii="Arial" w:cs="Arial" w:eastAsia="Arial" w:hAnsi="Arial"/>
                <w:sz w:val="16"/>
                <w:szCs w:val="16"/>
                <w:color w:val="auto"/>
              </w:rPr>
              <w:t>Operating income</w:t>
            </w:r>
          </w:p>
        </w:tc>
        <w:tc>
          <w:tcPr>
            <w:tcW w:w="1300" w:type="dxa"/>
            <w:vAlign w:val="bottom"/>
          </w:tcPr>
          <w:p>
            <w:pPr>
              <w:jc w:val="right"/>
              <w:spacing w:after="0"/>
              <w:rPr>
                <w:sz w:val="20"/>
                <w:szCs w:val="20"/>
                <w:color w:val="auto"/>
              </w:rPr>
            </w:pPr>
            <w:r>
              <w:rPr>
                <w:rFonts w:ascii="Arial" w:cs="Arial" w:eastAsia="Arial" w:hAnsi="Arial"/>
                <w:sz w:val="16"/>
                <w:szCs w:val="16"/>
                <w:color w:val="auto"/>
              </w:rPr>
              <w:t>45,997</w:t>
            </w:r>
          </w:p>
        </w:tc>
        <w:tc>
          <w:tcPr>
            <w:tcW w:w="80" w:type="dxa"/>
            <w:vAlign w:val="bottom"/>
          </w:tcPr>
          <w:p>
            <w:pPr>
              <w:spacing w:after="0"/>
              <w:rPr>
                <w:sz w:val="23"/>
                <w:szCs w:val="23"/>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6"/>
                <w:szCs w:val="16"/>
                <w:color w:val="auto"/>
              </w:rPr>
              <w:t>53,384</w:t>
            </w: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115,083</w:t>
            </w:r>
          </w:p>
        </w:tc>
        <w:tc>
          <w:tcPr>
            <w:tcW w:w="1200" w:type="dxa"/>
            <w:vAlign w:val="bottom"/>
          </w:tcPr>
          <w:p>
            <w:pPr>
              <w:jc w:val="right"/>
              <w:spacing w:after="0"/>
              <w:rPr>
                <w:sz w:val="20"/>
                <w:szCs w:val="20"/>
                <w:color w:val="auto"/>
              </w:rPr>
            </w:pPr>
            <w:r>
              <w:rPr>
                <w:rFonts w:ascii="Arial" w:cs="Arial" w:eastAsia="Arial" w:hAnsi="Arial"/>
                <w:sz w:val="16"/>
                <w:szCs w:val="16"/>
                <w:color w:val="auto"/>
              </w:rPr>
              <w:t>195,777</w:t>
            </w:r>
          </w:p>
        </w:tc>
        <w:tc>
          <w:tcPr>
            <w:tcW w:w="0" w:type="dxa"/>
            <w:vAlign w:val="bottom"/>
          </w:tcPr>
          <w:p>
            <w:pPr>
              <w:spacing w:after="0"/>
              <w:rPr>
                <w:sz w:val="1"/>
                <w:szCs w:val="1"/>
                <w:color w:val="auto"/>
              </w:rPr>
            </w:pPr>
          </w:p>
        </w:tc>
      </w:tr>
      <w:tr>
        <w:trPr>
          <w:trHeight w:val="540"/>
        </w:trPr>
        <w:tc>
          <w:tcPr>
            <w:tcW w:w="6020" w:type="dxa"/>
            <w:vAlign w:val="bottom"/>
          </w:tcPr>
          <w:p>
            <w:pPr>
              <w:spacing w:after="0"/>
              <w:rPr>
                <w:sz w:val="20"/>
                <w:szCs w:val="20"/>
                <w:color w:val="auto"/>
              </w:rPr>
            </w:pPr>
            <w:r>
              <w:rPr>
                <w:rFonts w:ascii="Arial" w:cs="Arial" w:eastAsia="Arial" w:hAnsi="Arial"/>
                <w:sz w:val="16"/>
                <w:szCs w:val="16"/>
                <w:color w:val="auto"/>
              </w:rPr>
              <w:t>Interest expense to affiliates</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6"/>
                <w:szCs w:val="16"/>
                <w:color w:val="auto"/>
              </w:rPr>
              <w:t>(4,563)</w:t>
            </w: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(6,980)</w:t>
            </w:r>
          </w:p>
        </w:tc>
        <w:tc>
          <w:tcPr>
            <w:tcW w:w="1200" w:type="dxa"/>
            <w:vAlign w:val="bottom"/>
          </w:tcPr>
          <w:p>
            <w:pPr>
              <w:jc w:val="right"/>
              <w:spacing w:after="0"/>
              <w:rPr>
                <w:sz w:val="20"/>
                <w:szCs w:val="20"/>
                <w:color w:val="auto"/>
              </w:rPr>
            </w:pPr>
            <w:r>
              <w:rPr>
                <w:rFonts w:ascii="Arial" w:cs="Arial" w:eastAsia="Arial" w:hAnsi="Arial"/>
                <w:sz w:val="16"/>
                <w:szCs w:val="16"/>
                <w:color w:val="auto"/>
              </w:rPr>
              <w:t>(13,857)</w:t>
            </w:r>
          </w:p>
        </w:tc>
        <w:tc>
          <w:tcPr>
            <w:tcW w:w="0" w:type="dxa"/>
            <w:vAlign w:val="bottom"/>
          </w:tcPr>
          <w:p>
            <w:pPr>
              <w:spacing w:after="0"/>
              <w:rPr>
                <w:sz w:val="1"/>
                <w:szCs w:val="1"/>
                <w:color w:val="auto"/>
              </w:rPr>
            </w:pPr>
          </w:p>
        </w:tc>
      </w:tr>
      <w:tr>
        <w:trPr>
          <w:trHeight w:val="270"/>
        </w:trPr>
        <w:tc>
          <w:tcPr>
            <w:tcW w:w="6020" w:type="dxa"/>
            <w:vAlign w:val="bottom"/>
          </w:tcPr>
          <w:p>
            <w:pPr>
              <w:spacing w:after="0"/>
              <w:rPr>
                <w:sz w:val="20"/>
                <w:szCs w:val="20"/>
                <w:color w:val="auto"/>
              </w:rPr>
            </w:pPr>
            <w:r>
              <w:rPr>
                <w:rFonts w:ascii="Arial" w:cs="Arial" w:eastAsia="Arial" w:hAnsi="Arial"/>
                <w:sz w:val="16"/>
                <w:szCs w:val="16"/>
                <w:color w:val="auto"/>
              </w:rPr>
              <w:t>Interest expense to third-parties, net of capitalized interest</w:t>
            </w:r>
          </w:p>
        </w:tc>
        <w:tc>
          <w:tcPr>
            <w:tcW w:w="1300" w:type="dxa"/>
            <w:vAlign w:val="bottom"/>
          </w:tcPr>
          <w:p>
            <w:pPr>
              <w:jc w:val="right"/>
              <w:spacing w:after="0"/>
              <w:rPr>
                <w:sz w:val="20"/>
                <w:szCs w:val="20"/>
                <w:color w:val="auto"/>
              </w:rPr>
            </w:pPr>
            <w:r>
              <w:rPr>
                <w:rFonts w:ascii="Arial" w:cs="Arial" w:eastAsia="Arial" w:hAnsi="Arial"/>
                <w:sz w:val="16"/>
                <w:szCs w:val="16"/>
                <w:color w:val="auto"/>
              </w:rPr>
              <w:t>(5,335)</w:t>
            </w:r>
          </w:p>
        </w:tc>
        <w:tc>
          <w:tcPr>
            <w:tcW w:w="80" w:type="dxa"/>
            <w:vAlign w:val="bottom"/>
          </w:tcPr>
          <w:p>
            <w:pPr>
              <w:spacing w:after="0"/>
              <w:rPr>
                <w:sz w:val="23"/>
                <w:szCs w:val="23"/>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6"/>
                <w:szCs w:val="16"/>
                <w:color w:val="auto"/>
              </w:rPr>
              <w:t>(992)</w:t>
            </w: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(8,445)</w:t>
            </w:r>
          </w:p>
        </w:tc>
        <w:tc>
          <w:tcPr>
            <w:tcW w:w="1200" w:type="dxa"/>
            <w:vAlign w:val="bottom"/>
          </w:tcPr>
          <w:p>
            <w:pPr>
              <w:jc w:val="right"/>
              <w:spacing w:after="0"/>
              <w:rPr>
                <w:sz w:val="20"/>
                <w:szCs w:val="20"/>
                <w:color w:val="auto"/>
              </w:rPr>
            </w:pPr>
            <w:r>
              <w:rPr>
                <w:rFonts w:ascii="Arial" w:cs="Arial" w:eastAsia="Arial" w:hAnsi="Arial"/>
                <w:sz w:val="16"/>
                <w:szCs w:val="16"/>
                <w:color w:val="auto"/>
              </w:rPr>
              <w:t>(4,962)</w:t>
            </w:r>
          </w:p>
        </w:tc>
        <w:tc>
          <w:tcPr>
            <w:tcW w:w="0" w:type="dxa"/>
            <w:vAlign w:val="bottom"/>
          </w:tcPr>
          <w:p>
            <w:pPr>
              <w:spacing w:after="0"/>
              <w:rPr>
                <w:sz w:val="1"/>
                <w:szCs w:val="1"/>
                <w:color w:val="auto"/>
              </w:rPr>
            </w:pPr>
          </w:p>
        </w:tc>
      </w:tr>
      <w:tr>
        <w:trPr>
          <w:trHeight w:val="270"/>
        </w:trPr>
        <w:tc>
          <w:tcPr>
            <w:tcW w:w="6020" w:type="dxa"/>
            <w:vAlign w:val="bottom"/>
          </w:tcPr>
          <w:p>
            <w:pPr>
              <w:spacing w:after="0"/>
              <w:rPr>
                <w:sz w:val="20"/>
                <w:szCs w:val="20"/>
                <w:color w:val="auto"/>
              </w:rPr>
            </w:pPr>
            <w:r>
              <w:rPr>
                <w:rFonts w:ascii="Arial" w:cs="Arial" w:eastAsia="Arial" w:hAnsi="Arial"/>
                <w:sz w:val="16"/>
                <w:szCs w:val="16"/>
                <w:color w:val="auto"/>
              </w:rPr>
              <w:t>Loss on extinguishment of debt</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(3,455)</w:t>
            </w:r>
          </w:p>
        </w:tc>
        <w:tc>
          <w:tcPr>
            <w:tcW w:w="1200" w:type="dxa"/>
            <w:vAlign w:val="bottom"/>
          </w:tcPr>
          <w:p>
            <w:pPr>
              <w:jc w:val="right"/>
              <w:spacing w:after="0"/>
              <w:rPr>
                <w:sz w:val="20"/>
                <w:szCs w:val="20"/>
                <w:color w:val="auto"/>
              </w:rPr>
            </w:pPr>
            <w:r>
              <w:rPr>
                <w:rFonts w:ascii="Arial" w:cs="Arial" w:eastAsia="Arial" w:hAnsi="Arial"/>
                <w:sz w:val="16"/>
                <w:szCs w:val="16"/>
                <w:color w:val="auto"/>
              </w:rPr>
              <w:t>(1,207)</w:t>
            </w:r>
          </w:p>
        </w:tc>
        <w:tc>
          <w:tcPr>
            <w:tcW w:w="0" w:type="dxa"/>
            <w:vAlign w:val="bottom"/>
          </w:tcPr>
          <w:p>
            <w:pPr>
              <w:spacing w:after="0"/>
              <w:rPr>
                <w:sz w:val="1"/>
                <w:szCs w:val="1"/>
                <w:color w:val="auto"/>
              </w:rPr>
            </w:pPr>
          </w:p>
        </w:tc>
      </w:tr>
      <w:tr>
        <w:trPr>
          <w:trHeight w:val="270"/>
        </w:trPr>
        <w:tc>
          <w:tcPr>
            <w:tcW w:w="6020" w:type="dxa"/>
            <w:vAlign w:val="bottom"/>
          </w:tcPr>
          <w:p>
            <w:pPr>
              <w:spacing w:after="0"/>
              <w:rPr>
                <w:sz w:val="20"/>
                <w:szCs w:val="20"/>
                <w:color w:val="auto"/>
              </w:rPr>
            </w:pPr>
            <w:r>
              <w:rPr>
                <w:rFonts w:ascii="Arial" w:cs="Arial" w:eastAsia="Arial" w:hAnsi="Arial"/>
                <w:sz w:val="16"/>
                <w:szCs w:val="16"/>
                <w:color w:val="auto"/>
              </w:rPr>
              <w:t>Interest income</w:t>
            </w:r>
          </w:p>
        </w:tc>
        <w:tc>
          <w:tcPr>
            <w:tcW w:w="1300" w:type="dxa"/>
            <w:vAlign w:val="bottom"/>
          </w:tcPr>
          <w:p>
            <w:pPr>
              <w:jc w:val="right"/>
              <w:spacing w:after="0"/>
              <w:rPr>
                <w:sz w:val="20"/>
                <w:szCs w:val="20"/>
                <w:color w:val="auto"/>
              </w:rPr>
            </w:pPr>
            <w:r>
              <w:rPr>
                <w:rFonts w:ascii="Arial" w:cs="Arial" w:eastAsia="Arial" w:hAnsi="Arial"/>
                <w:sz w:val="16"/>
                <w:szCs w:val="16"/>
                <w:color w:val="auto"/>
              </w:rPr>
              <w:t>1,048</w:t>
            </w:r>
          </w:p>
        </w:tc>
        <w:tc>
          <w:tcPr>
            <w:tcW w:w="80" w:type="dxa"/>
            <w:vAlign w:val="bottom"/>
          </w:tcPr>
          <w:p>
            <w:pPr>
              <w:spacing w:after="0"/>
              <w:rPr>
                <w:sz w:val="23"/>
                <w:szCs w:val="23"/>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6"/>
                <w:szCs w:val="16"/>
                <w:color w:val="auto"/>
              </w:rPr>
              <w:t>347</w:t>
            </w: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2,841</w:t>
            </w:r>
          </w:p>
        </w:tc>
        <w:tc>
          <w:tcPr>
            <w:tcW w:w="1200" w:type="dxa"/>
            <w:vAlign w:val="bottom"/>
          </w:tcPr>
          <w:p>
            <w:pPr>
              <w:jc w:val="right"/>
              <w:spacing w:after="0"/>
              <w:rPr>
                <w:sz w:val="20"/>
                <w:szCs w:val="20"/>
                <w:color w:val="auto"/>
              </w:rPr>
            </w:pPr>
            <w:r>
              <w:rPr>
                <w:rFonts w:ascii="Arial" w:cs="Arial" w:eastAsia="Arial" w:hAnsi="Arial"/>
                <w:sz w:val="16"/>
                <w:szCs w:val="16"/>
                <w:color w:val="auto"/>
              </w:rPr>
              <w:t>1,248</w:t>
            </w:r>
          </w:p>
        </w:tc>
        <w:tc>
          <w:tcPr>
            <w:tcW w:w="0" w:type="dxa"/>
            <w:vAlign w:val="bottom"/>
          </w:tcPr>
          <w:p>
            <w:pPr>
              <w:spacing w:after="0"/>
              <w:rPr>
                <w:sz w:val="1"/>
                <w:szCs w:val="1"/>
                <w:color w:val="auto"/>
              </w:rPr>
            </w:pPr>
          </w:p>
        </w:tc>
      </w:tr>
      <w:tr>
        <w:trPr>
          <w:trHeight w:val="263"/>
        </w:trPr>
        <w:tc>
          <w:tcPr>
            <w:tcW w:w="6020" w:type="dxa"/>
            <w:vAlign w:val="bottom"/>
          </w:tcPr>
          <w:p>
            <w:pPr>
              <w:spacing w:after="0"/>
              <w:rPr>
                <w:sz w:val="20"/>
                <w:szCs w:val="20"/>
                <w:color w:val="auto"/>
              </w:rPr>
            </w:pPr>
            <w:r>
              <w:rPr>
                <w:rFonts w:ascii="Arial" w:cs="Arial" w:eastAsia="Arial" w:hAnsi="Arial"/>
                <w:sz w:val="16"/>
                <w:szCs w:val="16"/>
                <w:color w:val="auto"/>
              </w:rPr>
              <w:t>Other income</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80" w:type="dxa"/>
            <w:vAlign w:val="bottom"/>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3,236</w:t>
            </w:r>
          </w:p>
        </w:tc>
        <w:tc>
          <w:tcPr>
            <w:tcW w:w="80" w:type="dxa"/>
            <w:vAlign w:val="bottom"/>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1,011</w:t>
            </w:r>
          </w:p>
        </w:tc>
        <w:tc>
          <w:tcPr>
            <w:tcW w:w="80" w:type="dxa"/>
            <w:vAlign w:val="bottom"/>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3,838</w:t>
            </w:r>
          </w:p>
        </w:tc>
        <w:tc>
          <w:tcPr>
            <w:tcW w:w="0" w:type="dxa"/>
            <w:vAlign w:val="bottom"/>
          </w:tcPr>
          <w:p>
            <w:pPr>
              <w:spacing w:after="0"/>
              <w:rPr>
                <w:sz w:val="1"/>
                <w:szCs w:val="1"/>
                <w:color w:val="auto"/>
              </w:rPr>
            </w:pPr>
          </w:p>
        </w:tc>
      </w:tr>
      <w:tr>
        <w:trPr>
          <w:trHeight w:val="271"/>
        </w:trPr>
        <w:tc>
          <w:tcPr>
            <w:tcW w:w="6020" w:type="dxa"/>
            <w:vAlign w:val="bottom"/>
          </w:tcPr>
          <w:p>
            <w:pPr>
              <w:ind w:left="220"/>
              <w:spacing w:after="0"/>
              <w:rPr>
                <w:sz w:val="20"/>
                <w:szCs w:val="20"/>
                <w:color w:val="auto"/>
              </w:rPr>
            </w:pPr>
            <w:r>
              <w:rPr>
                <w:rFonts w:ascii="Arial" w:cs="Arial" w:eastAsia="Arial" w:hAnsi="Arial"/>
                <w:sz w:val="16"/>
                <w:szCs w:val="16"/>
                <w:color w:val="auto"/>
              </w:rPr>
              <w:t>Income before income taxes</w:t>
            </w:r>
          </w:p>
        </w:tc>
        <w:tc>
          <w:tcPr>
            <w:tcW w:w="1300" w:type="dxa"/>
            <w:vAlign w:val="bottom"/>
          </w:tcPr>
          <w:p>
            <w:pPr>
              <w:jc w:val="right"/>
              <w:spacing w:after="0"/>
              <w:rPr>
                <w:sz w:val="20"/>
                <w:szCs w:val="20"/>
                <w:color w:val="auto"/>
              </w:rPr>
            </w:pPr>
            <w:r>
              <w:rPr>
                <w:rFonts w:ascii="Arial" w:cs="Arial" w:eastAsia="Arial" w:hAnsi="Arial"/>
                <w:sz w:val="16"/>
                <w:szCs w:val="16"/>
                <w:color w:val="auto"/>
              </w:rPr>
              <w:t>41,774</w:t>
            </w:r>
          </w:p>
        </w:tc>
        <w:tc>
          <w:tcPr>
            <w:tcW w:w="80" w:type="dxa"/>
            <w:vAlign w:val="bottom"/>
          </w:tcPr>
          <w:p>
            <w:pPr>
              <w:spacing w:after="0"/>
              <w:rPr>
                <w:sz w:val="23"/>
                <w:szCs w:val="23"/>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6"/>
                <w:szCs w:val="16"/>
                <w:color w:val="auto"/>
              </w:rPr>
              <w:t>51,412</w:t>
            </w: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100,055</w:t>
            </w:r>
          </w:p>
        </w:tc>
        <w:tc>
          <w:tcPr>
            <w:tcW w:w="1200" w:type="dxa"/>
            <w:vAlign w:val="bottom"/>
          </w:tcPr>
          <w:p>
            <w:pPr>
              <w:jc w:val="right"/>
              <w:spacing w:after="0"/>
              <w:rPr>
                <w:sz w:val="20"/>
                <w:szCs w:val="20"/>
                <w:color w:val="auto"/>
              </w:rPr>
            </w:pPr>
            <w:r>
              <w:rPr>
                <w:rFonts w:ascii="Arial" w:cs="Arial" w:eastAsia="Arial" w:hAnsi="Arial"/>
                <w:sz w:val="16"/>
                <w:szCs w:val="16"/>
                <w:color w:val="auto"/>
              </w:rPr>
              <w:t>180,837</w:t>
            </w:r>
          </w:p>
        </w:tc>
        <w:tc>
          <w:tcPr>
            <w:tcW w:w="0" w:type="dxa"/>
            <w:vAlign w:val="bottom"/>
          </w:tcPr>
          <w:p>
            <w:pPr>
              <w:spacing w:after="0"/>
              <w:rPr>
                <w:sz w:val="1"/>
                <w:szCs w:val="1"/>
                <w:color w:val="auto"/>
              </w:rPr>
            </w:pPr>
          </w:p>
        </w:tc>
      </w:tr>
      <w:tr>
        <w:trPr>
          <w:trHeight w:val="263"/>
        </w:trPr>
        <w:tc>
          <w:tcPr>
            <w:tcW w:w="6020" w:type="dxa"/>
            <w:vAlign w:val="bottom"/>
          </w:tcPr>
          <w:p>
            <w:pPr>
              <w:spacing w:after="0"/>
              <w:rPr>
                <w:sz w:val="20"/>
                <w:szCs w:val="20"/>
                <w:color w:val="auto"/>
              </w:rPr>
            </w:pPr>
            <w:r>
              <w:rPr>
                <w:rFonts w:ascii="Arial" w:cs="Arial" w:eastAsia="Arial" w:hAnsi="Arial"/>
                <w:sz w:val="16"/>
                <w:szCs w:val="16"/>
                <w:color w:val="auto"/>
              </w:rPr>
              <w:t>Income tax provision</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(9,011)</w:t>
            </w:r>
          </w:p>
        </w:tc>
        <w:tc>
          <w:tcPr>
            <w:tcW w:w="80" w:type="dxa"/>
            <w:vAlign w:val="bottom"/>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(11,418)</w:t>
            </w:r>
          </w:p>
        </w:tc>
        <w:tc>
          <w:tcPr>
            <w:tcW w:w="80" w:type="dxa"/>
            <w:vAlign w:val="bottom"/>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(16,411)</w:t>
            </w:r>
          </w:p>
        </w:tc>
        <w:tc>
          <w:tcPr>
            <w:tcW w:w="80" w:type="dxa"/>
            <w:vAlign w:val="bottom"/>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(43,350)</w:t>
            </w:r>
          </w:p>
        </w:tc>
        <w:tc>
          <w:tcPr>
            <w:tcW w:w="0" w:type="dxa"/>
            <w:vAlign w:val="bottom"/>
          </w:tcPr>
          <w:p>
            <w:pPr>
              <w:spacing w:after="0"/>
              <w:rPr>
                <w:sz w:val="1"/>
                <w:szCs w:val="1"/>
                <w:color w:val="auto"/>
              </w:rPr>
            </w:pPr>
          </w:p>
        </w:tc>
      </w:tr>
      <w:tr>
        <w:trPr>
          <w:trHeight w:val="271"/>
        </w:trPr>
        <w:tc>
          <w:tcPr>
            <w:tcW w:w="6020" w:type="dxa"/>
            <w:vAlign w:val="bottom"/>
          </w:tcPr>
          <w:p>
            <w:pPr>
              <w:spacing w:after="0"/>
              <w:rPr>
                <w:sz w:val="20"/>
                <w:szCs w:val="20"/>
                <w:color w:val="auto"/>
              </w:rPr>
            </w:pPr>
            <w:r>
              <w:rPr>
                <w:rFonts w:ascii="Arial" w:cs="Arial" w:eastAsia="Arial" w:hAnsi="Arial"/>
                <w:sz w:val="16"/>
                <w:szCs w:val="16"/>
                <w:color w:val="auto"/>
              </w:rPr>
              <w:t>Net income</w:t>
            </w:r>
          </w:p>
        </w:tc>
        <w:tc>
          <w:tcPr>
            <w:tcW w:w="1300" w:type="dxa"/>
            <w:vAlign w:val="bottom"/>
          </w:tcPr>
          <w:p>
            <w:pPr>
              <w:jc w:val="right"/>
              <w:spacing w:after="0"/>
              <w:rPr>
                <w:sz w:val="20"/>
                <w:szCs w:val="20"/>
                <w:color w:val="auto"/>
              </w:rPr>
            </w:pPr>
            <w:r>
              <w:rPr>
                <w:rFonts w:ascii="Arial" w:cs="Arial" w:eastAsia="Arial" w:hAnsi="Arial"/>
                <w:sz w:val="16"/>
                <w:szCs w:val="16"/>
                <w:color w:val="auto"/>
              </w:rPr>
              <w:t>32,763</w:t>
            </w:r>
          </w:p>
        </w:tc>
        <w:tc>
          <w:tcPr>
            <w:tcW w:w="80" w:type="dxa"/>
            <w:vAlign w:val="bottom"/>
          </w:tcPr>
          <w:p>
            <w:pPr>
              <w:spacing w:after="0"/>
              <w:rPr>
                <w:sz w:val="23"/>
                <w:szCs w:val="23"/>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6"/>
                <w:szCs w:val="16"/>
                <w:color w:val="auto"/>
              </w:rPr>
              <w:t>39,994</w:t>
            </w: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83,644</w:t>
            </w:r>
          </w:p>
        </w:tc>
        <w:tc>
          <w:tcPr>
            <w:tcW w:w="1200" w:type="dxa"/>
            <w:vAlign w:val="bottom"/>
          </w:tcPr>
          <w:p>
            <w:pPr>
              <w:jc w:val="right"/>
              <w:spacing w:after="0"/>
              <w:rPr>
                <w:sz w:val="20"/>
                <w:szCs w:val="20"/>
                <w:color w:val="auto"/>
              </w:rPr>
            </w:pPr>
            <w:r>
              <w:rPr>
                <w:rFonts w:ascii="Arial" w:cs="Arial" w:eastAsia="Arial" w:hAnsi="Arial"/>
                <w:sz w:val="16"/>
                <w:szCs w:val="16"/>
                <w:color w:val="auto"/>
              </w:rPr>
              <w:t>137,487</w:t>
            </w:r>
          </w:p>
        </w:tc>
        <w:tc>
          <w:tcPr>
            <w:tcW w:w="0" w:type="dxa"/>
            <w:vAlign w:val="bottom"/>
          </w:tcPr>
          <w:p>
            <w:pPr>
              <w:spacing w:after="0"/>
              <w:rPr>
                <w:sz w:val="1"/>
                <w:szCs w:val="1"/>
                <w:color w:val="auto"/>
              </w:rPr>
            </w:pPr>
          </w:p>
        </w:tc>
      </w:tr>
      <w:tr>
        <w:trPr>
          <w:trHeight w:val="263"/>
        </w:trPr>
        <w:tc>
          <w:tcPr>
            <w:tcW w:w="6020" w:type="dxa"/>
            <w:vAlign w:val="bottom"/>
          </w:tcPr>
          <w:p>
            <w:pPr>
              <w:ind w:left="220"/>
              <w:spacing w:after="0"/>
              <w:rPr>
                <w:sz w:val="20"/>
                <w:szCs w:val="20"/>
                <w:color w:val="auto"/>
              </w:rPr>
            </w:pPr>
            <w:r>
              <w:rPr>
                <w:rFonts w:ascii="Arial" w:cs="Arial" w:eastAsia="Arial" w:hAnsi="Arial"/>
                <w:sz w:val="16"/>
                <w:szCs w:val="16"/>
                <w:color w:val="auto"/>
              </w:rPr>
              <w:t>Less: Net income attributable to noncontrolling interest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w:t>
            </w:r>
          </w:p>
        </w:tc>
        <w:tc>
          <w:tcPr>
            <w:tcW w:w="80" w:type="dxa"/>
            <w:vAlign w:val="bottom"/>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w:t>
            </w:r>
          </w:p>
        </w:tc>
        <w:tc>
          <w:tcPr>
            <w:tcW w:w="80" w:type="dxa"/>
            <w:vAlign w:val="bottom"/>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1,053</w:t>
            </w:r>
          </w:p>
        </w:tc>
        <w:tc>
          <w:tcPr>
            <w:tcW w:w="80" w:type="dxa"/>
            <w:vAlign w:val="bottom"/>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1,064</w:t>
            </w:r>
          </w:p>
        </w:tc>
        <w:tc>
          <w:tcPr>
            <w:tcW w:w="0" w:type="dxa"/>
            <w:vAlign w:val="bottom"/>
          </w:tcPr>
          <w:p>
            <w:pPr>
              <w:spacing w:after="0"/>
              <w:rPr>
                <w:sz w:val="1"/>
                <w:szCs w:val="1"/>
                <w:color w:val="auto"/>
              </w:rPr>
            </w:pPr>
          </w:p>
        </w:tc>
      </w:tr>
      <w:tr>
        <w:trPr>
          <w:trHeight w:val="264"/>
        </w:trPr>
        <w:tc>
          <w:tcPr>
            <w:tcW w:w="6020" w:type="dxa"/>
            <w:vAlign w:val="bottom"/>
          </w:tcPr>
          <w:p>
            <w:pPr>
              <w:spacing w:after="0"/>
              <w:rPr>
                <w:sz w:val="20"/>
                <w:szCs w:val="20"/>
                <w:color w:val="auto"/>
              </w:rPr>
            </w:pPr>
            <w:r>
              <w:rPr>
                <w:rFonts w:ascii="Arial" w:cs="Arial" w:eastAsia="Arial" w:hAnsi="Arial"/>
                <w:sz w:val="16"/>
                <w:szCs w:val="16"/>
                <w:color w:val="auto"/>
              </w:rPr>
              <w:t>Net income attributable to Civeo Corporation</w:t>
            </w:r>
          </w:p>
        </w:tc>
        <w:tc>
          <w:tcPr>
            <w:tcW w:w="1300" w:type="dxa"/>
            <w:vAlign w:val="bottom"/>
          </w:tcPr>
          <w:p>
            <w:pPr>
              <w:jc w:val="right"/>
              <w:spacing w:after="0"/>
              <w:rPr>
                <w:sz w:val="20"/>
                <w:szCs w:val="20"/>
                <w:color w:val="auto"/>
              </w:rPr>
            </w:pPr>
            <w:r>
              <w:rPr>
                <w:rFonts w:ascii="Arial" w:cs="Arial" w:eastAsia="Arial" w:hAnsi="Arial"/>
                <w:sz w:val="16"/>
                <w:szCs w:val="16"/>
                <w:color w:val="auto"/>
              </w:rPr>
              <w:t>$ 32,403</w:t>
            </w:r>
          </w:p>
        </w:tc>
        <w:tc>
          <w:tcPr>
            <w:tcW w:w="80" w:type="dxa"/>
            <w:vAlign w:val="bottom"/>
          </w:tcPr>
          <w:p>
            <w:pPr>
              <w:spacing w:after="0"/>
              <w:rPr>
                <w:sz w:val="22"/>
                <w:szCs w:val="22"/>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6"/>
                <w:szCs w:val="16"/>
                <w:color w:val="auto"/>
              </w:rPr>
              <w:t>$ 39,641</w:t>
            </w: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$ 82,591</w:t>
            </w:r>
          </w:p>
        </w:tc>
        <w:tc>
          <w:tcPr>
            <w:tcW w:w="1200" w:type="dxa"/>
            <w:vAlign w:val="bottom"/>
          </w:tcPr>
          <w:p>
            <w:pPr>
              <w:jc w:val="right"/>
              <w:spacing w:after="0"/>
              <w:rPr>
                <w:sz w:val="20"/>
                <w:szCs w:val="20"/>
                <w:color w:val="auto"/>
              </w:rPr>
            </w:pPr>
            <w:r>
              <w:rPr>
                <w:rFonts w:ascii="Arial" w:cs="Arial" w:eastAsia="Arial" w:hAnsi="Arial"/>
                <w:sz w:val="16"/>
                <w:szCs w:val="16"/>
                <w:color w:val="auto"/>
              </w:rPr>
              <w:t>$ 136,423</w:t>
            </w:r>
          </w:p>
        </w:tc>
        <w:tc>
          <w:tcPr>
            <w:tcW w:w="0" w:type="dxa"/>
            <w:vAlign w:val="bottom"/>
          </w:tcPr>
          <w:p>
            <w:pPr>
              <w:spacing w:after="0"/>
              <w:rPr>
                <w:sz w:val="1"/>
                <w:szCs w:val="1"/>
                <w:color w:val="auto"/>
              </w:rPr>
            </w:pPr>
          </w:p>
        </w:tc>
      </w:tr>
      <w:tr>
        <w:trPr>
          <w:trHeight w:val="20"/>
        </w:trPr>
        <w:tc>
          <w:tcPr>
            <w:tcW w:w="6020" w:type="dxa"/>
            <w:vAlign w:val="bottom"/>
            <w:vMerge w:val="restart"/>
          </w:tcPr>
          <w:p>
            <w:pPr>
              <w:spacing w:after="0"/>
              <w:rPr>
                <w:sz w:val="20"/>
                <w:szCs w:val="20"/>
                <w:color w:val="auto"/>
              </w:rPr>
            </w:pPr>
            <w:r>
              <w:rPr>
                <w:rFonts w:ascii="Arial" w:cs="Arial" w:eastAsia="Arial" w:hAnsi="Arial"/>
                <w:sz w:val="16"/>
                <w:szCs w:val="16"/>
                <w:color w:val="auto"/>
              </w:rPr>
              <w:t>Net income per share attributable to Civeo Corporation common stockholders:</w:t>
            </w: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8"/>
        </w:trPr>
        <w:tc>
          <w:tcPr>
            <w:tcW w:w="602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220"/>
              <w:spacing w:after="0"/>
              <w:rPr>
                <w:sz w:val="20"/>
                <w:szCs w:val="20"/>
                <w:color w:val="auto"/>
              </w:rPr>
            </w:pPr>
            <w:r>
              <w:rPr>
                <w:rFonts w:ascii="Arial" w:cs="Arial" w:eastAsia="Arial" w:hAnsi="Arial"/>
                <w:sz w:val="16"/>
                <w:szCs w:val="16"/>
                <w:color w:val="auto"/>
              </w:rPr>
              <w:t>Basic</w:t>
            </w:r>
          </w:p>
        </w:tc>
        <w:tc>
          <w:tcPr>
            <w:tcW w:w="1300" w:type="dxa"/>
            <w:vAlign w:val="bottom"/>
          </w:tcPr>
          <w:p>
            <w:pPr>
              <w:jc w:val="right"/>
              <w:spacing w:after="0"/>
              <w:rPr>
                <w:sz w:val="20"/>
                <w:szCs w:val="20"/>
                <w:color w:val="auto"/>
              </w:rPr>
            </w:pPr>
            <w:r>
              <w:rPr>
                <w:rFonts w:ascii="Arial" w:cs="Arial" w:eastAsia="Arial" w:hAnsi="Arial"/>
                <w:sz w:val="16"/>
                <w:szCs w:val="16"/>
                <w:color w:val="auto"/>
              </w:rPr>
              <w:t>$ 0.30</w:t>
            </w:r>
          </w:p>
        </w:tc>
        <w:tc>
          <w:tcPr>
            <w:tcW w:w="80" w:type="dxa"/>
            <w:vAlign w:val="bottom"/>
          </w:tcPr>
          <w:p>
            <w:pPr>
              <w:spacing w:after="0"/>
              <w:rPr>
                <w:sz w:val="23"/>
                <w:szCs w:val="23"/>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6"/>
                <w:szCs w:val="16"/>
                <w:color w:val="auto"/>
              </w:rPr>
              <w:t>$ 0.37</w:t>
            </w: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$ 0.77</w:t>
            </w:r>
          </w:p>
        </w:tc>
        <w:tc>
          <w:tcPr>
            <w:tcW w:w="1200" w:type="dxa"/>
            <w:vAlign w:val="bottom"/>
          </w:tcPr>
          <w:p>
            <w:pPr>
              <w:jc w:val="right"/>
              <w:spacing w:after="0"/>
              <w:rPr>
                <w:sz w:val="20"/>
                <w:szCs w:val="20"/>
                <w:color w:val="auto"/>
              </w:rPr>
            </w:pPr>
            <w:r>
              <w:rPr>
                <w:rFonts w:ascii="Arial" w:cs="Arial" w:eastAsia="Arial" w:hAnsi="Arial"/>
                <w:sz w:val="16"/>
                <w:szCs w:val="16"/>
                <w:color w:val="auto"/>
              </w:rPr>
              <w:t>$ 1.28</w:t>
            </w:r>
          </w:p>
        </w:tc>
        <w:tc>
          <w:tcPr>
            <w:tcW w:w="0" w:type="dxa"/>
            <w:vAlign w:val="bottom"/>
          </w:tcPr>
          <w:p>
            <w:pPr>
              <w:spacing w:after="0"/>
              <w:rPr>
                <w:sz w:val="1"/>
                <w:szCs w:val="1"/>
                <w:color w:val="auto"/>
              </w:rPr>
            </w:pPr>
          </w:p>
        </w:tc>
      </w:tr>
      <w:tr>
        <w:trPr>
          <w:trHeight w:val="270"/>
        </w:trPr>
        <w:tc>
          <w:tcPr>
            <w:tcW w:w="6020" w:type="dxa"/>
            <w:vAlign w:val="bottom"/>
          </w:tcPr>
          <w:p>
            <w:pPr>
              <w:ind w:left="220"/>
              <w:spacing w:after="0"/>
              <w:rPr>
                <w:sz w:val="20"/>
                <w:szCs w:val="20"/>
                <w:color w:val="auto"/>
              </w:rPr>
            </w:pPr>
            <w:r>
              <w:rPr>
                <w:rFonts w:ascii="Arial" w:cs="Arial" w:eastAsia="Arial" w:hAnsi="Arial"/>
                <w:sz w:val="16"/>
                <w:szCs w:val="16"/>
                <w:color w:val="auto"/>
              </w:rPr>
              <w:t>Diluted</w:t>
            </w:r>
          </w:p>
        </w:tc>
        <w:tc>
          <w:tcPr>
            <w:tcW w:w="1300" w:type="dxa"/>
            <w:vAlign w:val="bottom"/>
          </w:tcPr>
          <w:p>
            <w:pPr>
              <w:jc w:val="right"/>
              <w:spacing w:after="0"/>
              <w:rPr>
                <w:sz w:val="20"/>
                <w:szCs w:val="20"/>
                <w:color w:val="auto"/>
              </w:rPr>
            </w:pPr>
            <w:r>
              <w:rPr>
                <w:rFonts w:ascii="Arial" w:cs="Arial" w:eastAsia="Arial" w:hAnsi="Arial"/>
                <w:sz w:val="16"/>
                <w:szCs w:val="16"/>
                <w:color w:val="auto"/>
              </w:rPr>
              <w:t>$ 0.30</w:t>
            </w:r>
          </w:p>
        </w:tc>
        <w:tc>
          <w:tcPr>
            <w:tcW w:w="80" w:type="dxa"/>
            <w:vAlign w:val="bottom"/>
          </w:tcPr>
          <w:p>
            <w:pPr>
              <w:spacing w:after="0"/>
              <w:rPr>
                <w:sz w:val="23"/>
                <w:szCs w:val="23"/>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6"/>
                <w:szCs w:val="16"/>
                <w:color w:val="auto"/>
              </w:rPr>
              <w:t>$ 0.37</w:t>
            </w: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$ 0.77</w:t>
            </w:r>
          </w:p>
        </w:tc>
        <w:tc>
          <w:tcPr>
            <w:tcW w:w="1200" w:type="dxa"/>
            <w:vAlign w:val="bottom"/>
          </w:tcPr>
          <w:p>
            <w:pPr>
              <w:jc w:val="right"/>
              <w:spacing w:after="0"/>
              <w:rPr>
                <w:sz w:val="20"/>
                <w:szCs w:val="20"/>
                <w:color w:val="auto"/>
              </w:rPr>
            </w:pPr>
            <w:r>
              <w:rPr>
                <w:rFonts w:ascii="Arial" w:cs="Arial" w:eastAsia="Arial" w:hAnsi="Arial"/>
                <w:sz w:val="16"/>
                <w:szCs w:val="16"/>
                <w:color w:val="auto"/>
              </w:rPr>
              <w:t>$ 1.28</w:t>
            </w:r>
          </w:p>
        </w:tc>
        <w:tc>
          <w:tcPr>
            <w:tcW w:w="0" w:type="dxa"/>
            <w:vAlign w:val="bottom"/>
          </w:tcPr>
          <w:p>
            <w:pPr>
              <w:spacing w:after="0"/>
              <w:rPr>
                <w:sz w:val="1"/>
                <w:szCs w:val="1"/>
                <w:color w:val="auto"/>
              </w:rPr>
            </w:pPr>
          </w:p>
        </w:tc>
      </w:tr>
      <w:tr>
        <w:trPr>
          <w:trHeight w:val="810"/>
        </w:trPr>
        <w:tc>
          <w:tcPr>
            <w:tcW w:w="6020" w:type="dxa"/>
            <w:vAlign w:val="bottom"/>
          </w:tcPr>
          <w:p>
            <w:pPr>
              <w:spacing w:after="0"/>
              <w:rPr>
                <w:sz w:val="20"/>
                <w:szCs w:val="20"/>
                <w:color w:val="auto"/>
              </w:rPr>
            </w:pPr>
            <w:r>
              <w:rPr>
                <w:rFonts w:ascii="Arial" w:cs="Arial" w:eastAsia="Arial" w:hAnsi="Arial"/>
                <w:sz w:val="16"/>
                <w:szCs w:val="16"/>
                <w:color w:val="auto"/>
              </w:rPr>
              <w:t>Weighted average number of common shares outstanding (1):</w:t>
            </w: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220"/>
              <w:spacing w:after="0"/>
              <w:rPr>
                <w:sz w:val="20"/>
                <w:szCs w:val="20"/>
                <w:color w:val="auto"/>
              </w:rPr>
            </w:pPr>
            <w:r>
              <w:rPr>
                <w:rFonts w:ascii="Arial" w:cs="Arial" w:eastAsia="Arial" w:hAnsi="Arial"/>
                <w:sz w:val="16"/>
                <w:szCs w:val="16"/>
                <w:color w:val="auto"/>
              </w:rPr>
              <w:t>Basic</w:t>
            </w:r>
          </w:p>
        </w:tc>
        <w:tc>
          <w:tcPr>
            <w:tcW w:w="1300" w:type="dxa"/>
            <w:vAlign w:val="bottom"/>
          </w:tcPr>
          <w:p>
            <w:pPr>
              <w:jc w:val="right"/>
              <w:spacing w:after="0"/>
              <w:rPr>
                <w:sz w:val="20"/>
                <w:szCs w:val="20"/>
                <w:color w:val="auto"/>
              </w:rPr>
            </w:pPr>
            <w:r>
              <w:rPr>
                <w:rFonts w:ascii="Arial" w:cs="Arial" w:eastAsia="Arial" w:hAnsi="Arial"/>
                <w:sz w:val="16"/>
                <w:szCs w:val="16"/>
                <w:color w:val="auto"/>
              </w:rPr>
              <w:t>106,311</w:t>
            </w:r>
          </w:p>
        </w:tc>
        <w:tc>
          <w:tcPr>
            <w:tcW w:w="80" w:type="dxa"/>
            <w:vAlign w:val="bottom"/>
          </w:tcPr>
          <w:p>
            <w:pPr>
              <w:spacing w:after="0"/>
              <w:rPr>
                <w:sz w:val="23"/>
                <w:szCs w:val="23"/>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6"/>
                <w:szCs w:val="16"/>
                <w:color w:val="auto"/>
              </w:rPr>
              <w:t>106,293</w:t>
            </w: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106,300</w:t>
            </w:r>
          </w:p>
        </w:tc>
        <w:tc>
          <w:tcPr>
            <w:tcW w:w="1200" w:type="dxa"/>
            <w:vAlign w:val="bottom"/>
          </w:tcPr>
          <w:p>
            <w:pPr>
              <w:jc w:val="right"/>
              <w:spacing w:after="0"/>
              <w:rPr>
                <w:sz w:val="20"/>
                <w:szCs w:val="20"/>
                <w:color w:val="auto"/>
              </w:rPr>
            </w:pPr>
            <w:r>
              <w:rPr>
                <w:rFonts w:ascii="Arial" w:cs="Arial" w:eastAsia="Arial" w:hAnsi="Arial"/>
                <w:sz w:val="16"/>
                <w:szCs w:val="16"/>
                <w:color w:val="auto"/>
              </w:rPr>
              <w:t>106,293</w:t>
            </w:r>
          </w:p>
        </w:tc>
        <w:tc>
          <w:tcPr>
            <w:tcW w:w="0" w:type="dxa"/>
            <w:vAlign w:val="bottom"/>
          </w:tcPr>
          <w:p>
            <w:pPr>
              <w:spacing w:after="0"/>
              <w:rPr>
                <w:sz w:val="1"/>
                <w:szCs w:val="1"/>
                <w:color w:val="auto"/>
              </w:rPr>
            </w:pPr>
          </w:p>
        </w:tc>
      </w:tr>
      <w:tr>
        <w:trPr>
          <w:trHeight w:val="270"/>
        </w:trPr>
        <w:tc>
          <w:tcPr>
            <w:tcW w:w="6020" w:type="dxa"/>
            <w:vAlign w:val="bottom"/>
          </w:tcPr>
          <w:p>
            <w:pPr>
              <w:ind w:left="220"/>
              <w:spacing w:after="0"/>
              <w:rPr>
                <w:sz w:val="20"/>
                <w:szCs w:val="20"/>
                <w:color w:val="auto"/>
              </w:rPr>
            </w:pPr>
            <w:r>
              <w:rPr>
                <w:rFonts w:ascii="Arial" w:cs="Arial" w:eastAsia="Arial" w:hAnsi="Arial"/>
                <w:sz w:val="16"/>
                <w:szCs w:val="16"/>
                <w:color w:val="auto"/>
              </w:rPr>
              <w:t>Diluted</w:t>
            </w:r>
          </w:p>
        </w:tc>
        <w:tc>
          <w:tcPr>
            <w:tcW w:w="1300" w:type="dxa"/>
            <w:vAlign w:val="bottom"/>
          </w:tcPr>
          <w:p>
            <w:pPr>
              <w:jc w:val="right"/>
              <w:spacing w:after="0"/>
              <w:rPr>
                <w:sz w:val="20"/>
                <w:szCs w:val="20"/>
                <w:color w:val="auto"/>
              </w:rPr>
            </w:pPr>
            <w:r>
              <w:rPr>
                <w:rFonts w:ascii="Arial" w:cs="Arial" w:eastAsia="Arial" w:hAnsi="Arial"/>
                <w:sz w:val="16"/>
                <w:szCs w:val="16"/>
                <w:color w:val="auto"/>
              </w:rPr>
              <w:t>106,495</w:t>
            </w:r>
          </w:p>
        </w:tc>
        <w:tc>
          <w:tcPr>
            <w:tcW w:w="80" w:type="dxa"/>
            <w:vAlign w:val="bottom"/>
          </w:tcPr>
          <w:p>
            <w:pPr>
              <w:spacing w:after="0"/>
              <w:rPr>
                <w:sz w:val="23"/>
                <w:szCs w:val="23"/>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6"/>
                <w:szCs w:val="16"/>
                <w:color w:val="auto"/>
              </w:rPr>
              <w:t>106,460</w:t>
            </w: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106,474</w:t>
            </w:r>
          </w:p>
        </w:tc>
        <w:tc>
          <w:tcPr>
            <w:tcW w:w="1200" w:type="dxa"/>
            <w:vAlign w:val="bottom"/>
          </w:tcPr>
          <w:p>
            <w:pPr>
              <w:jc w:val="right"/>
              <w:spacing w:after="0"/>
              <w:rPr>
                <w:sz w:val="20"/>
                <w:szCs w:val="20"/>
                <w:color w:val="auto"/>
              </w:rPr>
            </w:pPr>
            <w:r>
              <w:rPr>
                <w:rFonts w:ascii="Arial" w:cs="Arial" w:eastAsia="Arial" w:hAnsi="Arial"/>
                <w:sz w:val="16"/>
                <w:szCs w:val="16"/>
                <w:color w:val="auto"/>
              </w:rPr>
              <w:t>106,460</w:t>
            </w:r>
          </w:p>
        </w:tc>
        <w:tc>
          <w:tcPr>
            <w:tcW w:w="0" w:type="dxa"/>
            <w:vAlign w:val="bottom"/>
          </w:tcPr>
          <w:p>
            <w:pPr>
              <w:spacing w:after="0"/>
              <w:rPr>
                <w:sz w:val="1"/>
                <w:szCs w:val="1"/>
                <w:color w:val="auto"/>
              </w:rPr>
            </w:pPr>
          </w:p>
        </w:tc>
      </w:tr>
      <w:tr>
        <w:trPr>
          <w:trHeight w:val="810"/>
        </w:trPr>
        <w:tc>
          <w:tcPr>
            <w:tcW w:w="6020" w:type="dxa"/>
            <w:vAlign w:val="bottom"/>
          </w:tcPr>
          <w:p>
            <w:pPr>
              <w:spacing w:after="0"/>
              <w:rPr>
                <w:sz w:val="20"/>
                <w:szCs w:val="20"/>
                <w:color w:val="auto"/>
              </w:rPr>
            </w:pPr>
            <w:r>
              <w:rPr>
                <w:rFonts w:ascii="Arial" w:cs="Arial" w:eastAsia="Arial" w:hAnsi="Arial"/>
                <w:sz w:val="16"/>
                <w:szCs w:val="16"/>
                <w:color w:val="auto"/>
              </w:rPr>
              <w:t>Dividends per common share</w:t>
            </w:r>
          </w:p>
        </w:tc>
        <w:tc>
          <w:tcPr>
            <w:tcW w:w="1300" w:type="dxa"/>
            <w:vAlign w:val="bottom"/>
          </w:tcPr>
          <w:p>
            <w:pPr>
              <w:jc w:val="right"/>
              <w:spacing w:after="0"/>
              <w:rPr>
                <w:sz w:val="20"/>
                <w:szCs w:val="20"/>
                <w:color w:val="auto"/>
              </w:rPr>
            </w:pPr>
            <w:r>
              <w:rPr>
                <w:rFonts w:ascii="Arial" w:cs="Arial" w:eastAsia="Arial" w:hAnsi="Arial"/>
                <w:sz w:val="16"/>
                <w:szCs w:val="16"/>
                <w:color w:val="auto"/>
              </w:rPr>
              <w:t>$ 0.13</w:t>
            </w:r>
          </w:p>
        </w:tc>
        <w:tc>
          <w:tcPr>
            <w:tcW w:w="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 --</w:t>
            </w:r>
          </w:p>
        </w:tc>
        <w:tc>
          <w:tcPr>
            <w:tcW w:w="80" w:type="dxa"/>
            <w:vAlign w:val="bottom"/>
          </w:tcPr>
          <w:p>
            <w:pPr>
              <w:spacing w:after="0"/>
              <w:rPr>
                <w:sz w:val="24"/>
                <w:szCs w:val="24"/>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$ 0.13</w:t>
            </w:r>
          </w:p>
        </w:tc>
        <w:tc>
          <w:tcPr>
            <w:tcW w:w="120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firstLine="9"/>
        <w:spacing w:after="0" w:line="251" w:lineRule="auto"/>
        <w:tabs>
          <w:tab w:leader="none" w:pos="243"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May 30, 2014, 106,538 thousand shares of our common stock were distributed to Oil States stockholders in connection with the Spin-Off. For comparative purposes, and to provide a more meaningful calculation of weighted-average shares outstanding, we have assumed this amount to be outstanding as of the beginning of each period prior to the separation presented in the calculation of weighted-average shares. In addition, we have assumed the dilutive securities outstanding at May 30, 2014 were also outstanding for each of the periods prior to the Spin-Off presented.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820"/>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1820"/>
        <w:spacing w:after="0"/>
        <w:rPr>
          <w:sz w:val="20"/>
          <w:szCs w:val="20"/>
          <w:color w:val="auto"/>
        </w:rPr>
      </w:pPr>
      <w:r>
        <w:rPr>
          <w:rFonts w:ascii="Arial" w:cs="Arial" w:eastAsia="Arial" w:hAnsi="Arial"/>
          <w:sz w:val="16"/>
          <w:szCs w:val="16"/>
          <w:b w:val="1"/>
          <w:bCs w:val="1"/>
          <w:color w:val="auto"/>
        </w:rPr>
        <w:t>UNAUDITED CONSOLIDATED BALANCE SHEETS</w:t>
      </w:r>
    </w:p>
    <w:p>
      <w:pPr>
        <w:spacing w:after="0" w:line="66" w:lineRule="exact"/>
        <w:rPr>
          <w:sz w:val="20"/>
          <w:szCs w:val="20"/>
          <w:color w:val="auto"/>
        </w:rPr>
      </w:pPr>
    </w:p>
    <w:p>
      <w:pPr>
        <w:ind w:left="4160"/>
        <w:spacing w:after="0"/>
        <w:rPr>
          <w:sz w:val="20"/>
          <w:szCs w:val="20"/>
          <w:color w:val="auto"/>
        </w:rPr>
      </w:pPr>
      <w:r>
        <w:rPr>
          <w:rFonts w:ascii="Arial" w:cs="Arial" w:eastAsia="Arial" w:hAnsi="Arial"/>
          <w:sz w:val="16"/>
          <w:szCs w:val="16"/>
          <w:b w:val="1"/>
          <w:bCs w:val="1"/>
          <w:color w:val="auto"/>
        </w:rPr>
        <w:t>(in thousands)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20" w:type="dxa"/>
            <w:vAlign w:val="bottom"/>
          </w:tcPr>
          <w:p>
            <w:pPr>
              <w:spacing w:after="0"/>
              <w:rPr>
                <w:sz w:val="16"/>
                <w:szCs w:val="16"/>
                <w:color w:val="auto"/>
              </w:rPr>
            </w:pPr>
          </w:p>
        </w:tc>
        <w:tc>
          <w:tcPr>
            <w:tcW w:w="262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 DECEMBER 31,</w:t>
            </w:r>
          </w:p>
        </w:tc>
        <w:tc>
          <w:tcPr>
            <w:tcW w:w="0" w:type="dxa"/>
            <w:vAlign w:val="bottom"/>
          </w:tcPr>
          <w:p>
            <w:pPr>
              <w:spacing w:after="0"/>
              <w:rPr>
                <w:sz w:val="1"/>
                <w:szCs w:val="1"/>
                <w:color w:val="auto"/>
              </w:rPr>
            </w:pPr>
          </w:p>
        </w:tc>
      </w:tr>
      <w:tr>
        <w:trPr>
          <w:trHeight w:val="207"/>
        </w:trPr>
        <w:tc>
          <w:tcPr>
            <w:tcW w:w="6820" w:type="dxa"/>
            <w:vAlign w:val="bottom"/>
          </w:tcPr>
          <w:p>
            <w:pPr>
              <w:spacing w:after="0"/>
              <w:rPr>
                <w:sz w:val="18"/>
                <w:szCs w:val="18"/>
                <w:color w:val="auto"/>
              </w:rPr>
            </w:pPr>
          </w:p>
        </w:tc>
        <w:tc>
          <w:tcPr>
            <w:tcW w:w="12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2014</w:t>
            </w:r>
          </w:p>
        </w:tc>
        <w:tc>
          <w:tcPr>
            <w:tcW w:w="80" w:type="dxa"/>
            <w:vAlign w:val="bottom"/>
          </w:tcPr>
          <w:p>
            <w:pPr>
              <w:spacing w:after="0"/>
              <w:rPr>
                <w:sz w:val="18"/>
                <w:szCs w:val="18"/>
                <w:color w:val="auto"/>
              </w:rPr>
            </w:pPr>
          </w:p>
        </w:tc>
        <w:tc>
          <w:tcPr>
            <w:tcW w:w="12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271"/>
        </w:trPr>
        <w:tc>
          <w:tcPr>
            <w:tcW w:w="6820" w:type="dxa"/>
            <w:vAlign w:val="bottom"/>
          </w:tcPr>
          <w:p>
            <w:pPr>
              <w:spacing w:after="0"/>
              <w:rPr>
                <w:sz w:val="23"/>
                <w:szCs w:val="23"/>
                <w:color w:val="auto"/>
              </w:rPr>
            </w:pPr>
          </w:p>
        </w:tc>
        <w:tc>
          <w:tcPr>
            <w:tcW w:w="1360" w:type="dxa"/>
            <w:vAlign w:val="bottom"/>
            <w:gridSpan w:val="2"/>
          </w:tcPr>
          <w:p>
            <w:pPr>
              <w:ind w:left="100"/>
              <w:spacing w:after="0"/>
              <w:rPr>
                <w:sz w:val="20"/>
                <w:szCs w:val="20"/>
                <w:color w:val="auto"/>
              </w:rPr>
            </w:pPr>
            <w:r>
              <w:rPr>
                <w:rFonts w:ascii="Arial" w:cs="Arial" w:eastAsia="Arial" w:hAnsi="Arial"/>
                <w:sz w:val="16"/>
                <w:szCs w:val="16"/>
                <w:b w:val="1"/>
                <w:bCs w:val="1"/>
                <w:color w:val="auto"/>
              </w:rPr>
              <w:t>(UNAUDITED)</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20" w:type="dxa"/>
            <w:vAlign w:val="bottom"/>
          </w:tcPr>
          <w:p>
            <w:pPr>
              <w:spacing w:after="0"/>
              <w:rPr>
                <w:sz w:val="20"/>
                <w:szCs w:val="20"/>
                <w:color w:val="auto"/>
              </w:rPr>
            </w:pPr>
            <w:r>
              <w:rPr>
                <w:rFonts w:ascii="Arial" w:cs="Arial" w:eastAsia="Arial" w:hAnsi="Arial"/>
                <w:sz w:val="16"/>
                <w:szCs w:val="16"/>
                <w:color w:val="auto"/>
              </w:rPr>
              <w:t>Current assets:</w:t>
            </w: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20" w:type="dxa"/>
            <w:vAlign w:val="bottom"/>
          </w:tcPr>
          <w:p>
            <w:pPr>
              <w:ind w:left="220"/>
              <w:spacing w:after="0"/>
              <w:rPr>
                <w:sz w:val="20"/>
                <w:szCs w:val="20"/>
                <w:color w:val="auto"/>
              </w:rPr>
            </w:pPr>
            <w:r>
              <w:rPr>
                <w:rFonts w:ascii="Arial" w:cs="Arial" w:eastAsia="Arial" w:hAnsi="Arial"/>
                <w:sz w:val="16"/>
                <w:szCs w:val="16"/>
                <w:color w:val="auto"/>
              </w:rPr>
              <w:t>Cash and cash equivalents</w:t>
            </w:r>
          </w:p>
        </w:tc>
        <w:tc>
          <w:tcPr>
            <w:tcW w:w="1280" w:type="dxa"/>
            <w:vAlign w:val="bottom"/>
          </w:tcPr>
          <w:p>
            <w:pPr>
              <w:jc w:val="right"/>
              <w:spacing w:after="0"/>
              <w:rPr>
                <w:sz w:val="20"/>
                <w:szCs w:val="20"/>
                <w:color w:val="auto"/>
              </w:rPr>
            </w:pPr>
            <w:r>
              <w:rPr>
                <w:rFonts w:ascii="Arial" w:cs="Arial" w:eastAsia="Arial" w:hAnsi="Arial"/>
                <w:sz w:val="16"/>
                <w:szCs w:val="16"/>
                <w:color w:val="auto"/>
              </w:rPr>
              <w:t>$ 241,814</w:t>
            </w:r>
          </w:p>
        </w:tc>
        <w:tc>
          <w:tcPr>
            <w:tcW w:w="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$ 224,128</w:t>
            </w:r>
          </w:p>
        </w:tc>
        <w:tc>
          <w:tcPr>
            <w:tcW w:w="0" w:type="dxa"/>
            <w:vAlign w:val="bottom"/>
          </w:tcPr>
          <w:p>
            <w:pPr>
              <w:spacing w:after="0"/>
              <w:rPr>
                <w:sz w:val="1"/>
                <w:szCs w:val="1"/>
                <w:color w:val="auto"/>
              </w:rPr>
            </w:pPr>
          </w:p>
        </w:tc>
      </w:tr>
      <w:tr>
        <w:trPr>
          <w:trHeight w:val="270"/>
        </w:trPr>
        <w:tc>
          <w:tcPr>
            <w:tcW w:w="6820" w:type="dxa"/>
            <w:vAlign w:val="bottom"/>
          </w:tcPr>
          <w:p>
            <w:pPr>
              <w:ind w:left="220"/>
              <w:spacing w:after="0"/>
              <w:rPr>
                <w:sz w:val="20"/>
                <w:szCs w:val="20"/>
                <w:color w:val="auto"/>
              </w:rPr>
            </w:pPr>
            <w:r>
              <w:rPr>
                <w:rFonts w:ascii="Arial" w:cs="Arial" w:eastAsia="Arial" w:hAnsi="Arial"/>
                <w:sz w:val="16"/>
                <w:szCs w:val="16"/>
                <w:color w:val="auto"/>
              </w:rPr>
              <w:t>Accounts receivable, net</w:t>
            </w:r>
          </w:p>
        </w:tc>
        <w:tc>
          <w:tcPr>
            <w:tcW w:w="1280" w:type="dxa"/>
            <w:vAlign w:val="bottom"/>
          </w:tcPr>
          <w:p>
            <w:pPr>
              <w:jc w:val="right"/>
              <w:spacing w:after="0"/>
              <w:rPr>
                <w:sz w:val="20"/>
                <w:szCs w:val="20"/>
                <w:color w:val="auto"/>
              </w:rPr>
            </w:pPr>
            <w:r>
              <w:rPr>
                <w:rFonts w:ascii="Arial" w:cs="Arial" w:eastAsia="Arial" w:hAnsi="Arial"/>
                <w:sz w:val="16"/>
                <w:szCs w:val="16"/>
                <w:color w:val="auto"/>
              </w:rPr>
              <w:t>203,331</w:t>
            </w:r>
          </w:p>
        </w:tc>
        <w:tc>
          <w:tcPr>
            <w:tcW w:w="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177,845</w:t>
            </w:r>
          </w:p>
        </w:tc>
        <w:tc>
          <w:tcPr>
            <w:tcW w:w="0" w:type="dxa"/>
            <w:vAlign w:val="bottom"/>
          </w:tcPr>
          <w:p>
            <w:pPr>
              <w:spacing w:after="0"/>
              <w:rPr>
                <w:sz w:val="1"/>
                <w:szCs w:val="1"/>
                <w:color w:val="auto"/>
              </w:rPr>
            </w:pPr>
          </w:p>
        </w:tc>
      </w:tr>
      <w:tr>
        <w:trPr>
          <w:trHeight w:val="270"/>
        </w:trPr>
        <w:tc>
          <w:tcPr>
            <w:tcW w:w="6820" w:type="dxa"/>
            <w:vAlign w:val="bottom"/>
          </w:tcPr>
          <w:p>
            <w:pPr>
              <w:ind w:left="220"/>
              <w:spacing w:after="0"/>
              <w:rPr>
                <w:sz w:val="20"/>
                <w:szCs w:val="20"/>
                <w:color w:val="auto"/>
              </w:rPr>
            </w:pPr>
            <w:r>
              <w:rPr>
                <w:rFonts w:ascii="Arial" w:cs="Arial" w:eastAsia="Arial" w:hAnsi="Arial"/>
                <w:sz w:val="16"/>
                <w:szCs w:val="16"/>
                <w:color w:val="auto"/>
              </w:rPr>
              <w:t>Inventories</w:t>
            </w:r>
          </w:p>
        </w:tc>
        <w:tc>
          <w:tcPr>
            <w:tcW w:w="1280" w:type="dxa"/>
            <w:vAlign w:val="bottom"/>
          </w:tcPr>
          <w:p>
            <w:pPr>
              <w:jc w:val="right"/>
              <w:spacing w:after="0"/>
              <w:rPr>
                <w:sz w:val="20"/>
                <w:szCs w:val="20"/>
                <w:color w:val="auto"/>
              </w:rPr>
            </w:pPr>
            <w:r>
              <w:rPr>
                <w:rFonts w:ascii="Arial" w:cs="Arial" w:eastAsia="Arial" w:hAnsi="Arial"/>
                <w:sz w:val="16"/>
                <w:szCs w:val="16"/>
                <w:color w:val="auto"/>
              </w:rPr>
              <w:t>14,896</w:t>
            </w:r>
          </w:p>
        </w:tc>
        <w:tc>
          <w:tcPr>
            <w:tcW w:w="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29,815</w:t>
            </w:r>
          </w:p>
        </w:tc>
        <w:tc>
          <w:tcPr>
            <w:tcW w:w="0" w:type="dxa"/>
            <w:vAlign w:val="bottom"/>
          </w:tcPr>
          <w:p>
            <w:pPr>
              <w:spacing w:after="0"/>
              <w:rPr>
                <w:sz w:val="1"/>
                <w:szCs w:val="1"/>
                <w:color w:val="auto"/>
              </w:rPr>
            </w:pPr>
          </w:p>
        </w:tc>
      </w:tr>
      <w:tr>
        <w:trPr>
          <w:trHeight w:val="263"/>
        </w:trPr>
        <w:tc>
          <w:tcPr>
            <w:tcW w:w="6820" w:type="dxa"/>
            <w:vAlign w:val="bottom"/>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29,313</w:t>
            </w:r>
          </w:p>
        </w:tc>
        <w:tc>
          <w:tcPr>
            <w:tcW w:w="8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7,956</w:t>
            </w:r>
          </w:p>
        </w:tc>
        <w:tc>
          <w:tcPr>
            <w:tcW w:w="0" w:type="dxa"/>
            <w:vAlign w:val="bottom"/>
          </w:tcPr>
          <w:p>
            <w:pPr>
              <w:spacing w:after="0"/>
              <w:rPr>
                <w:sz w:val="1"/>
                <w:szCs w:val="1"/>
                <w:color w:val="auto"/>
              </w:rPr>
            </w:pPr>
          </w:p>
        </w:tc>
      </w:tr>
      <w:tr>
        <w:trPr>
          <w:trHeight w:val="271"/>
        </w:trPr>
        <w:tc>
          <w:tcPr>
            <w:tcW w:w="6820" w:type="dxa"/>
            <w:vAlign w:val="bottom"/>
          </w:tcPr>
          <w:p>
            <w:pPr>
              <w:ind w:left="340"/>
              <w:spacing w:after="0"/>
              <w:rPr>
                <w:sz w:val="20"/>
                <w:szCs w:val="20"/>
                <w:color w:val="auto"/>
              </w:rPr>
            </w:pPr>
            <w:r>
              <w:rPr>
                <w:rFonts w:ascii="Arial" w:cs="Arial" w:eastAsia="Arial" w:hAnsi="Arial"/>
                <w:sz w:val="16"/>
                <w:szCs w:val="16"/>
                <w:color w:val="auto"/>
              </w:rPr>
              <w:t>Total current assets</w:t>
            </w:r>
          </w:p>
        </w:tc>
        <w:tc>
          <w:tcPr>
            <w:tcW w:w="1280" w:type="dxa"/>
            <w:vAlign w:val="bottom"/>
          </w:tcPr>
          <w:p>
            <w:pPr>
              <w:jc w:val="right"/>
              <w:spacing w:after="0"/>
              <w:rPr>
                <w:sz w:val="20"/>
                <w:szCs w:val="20"/>
                <w:color w:val="auto"/>
              </w:rPr>
            </w:pPr>
            <w:r>
              <w:rPr>
                <w:rFonts w:ascii="Arial" w:cs="Arial" w:eastAsia="Arial" w:hAnsi="Arial"/>
                <w:sz w:val="16"/>
                <w:szCs w:val="16"/>
                <w:color w:val="auto"/>
              </w:rPr>
              <w:t>489,354</w:t>
            </w:r>
          </w:p>
        </w:tc>
        <w:tc>
          <w:tcPr>
            <w:tcW w:w="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439,744</w:t>
            </w:r>
          </w:p>
        </w:tc>
        <w:tc>
          <w:tcPr>
            <w:tcW w:w="0" w:type="dxa"/>
            <w:vAlign w:val="bottom"/>
          </w:tcPr>
          <w:p>
            <w:pPr>
              <w:spacing w:after="0"/>
              <w:rPr>
                <w:sz w:val="1"/>
                <w:szCs w:val="1"/>
                <w:color w:val="auto"/>
              </w:rPr>
            </w:pPr>
          </w:p>
        </w:tc>
      </w:tr>
      <w:tr>
        <w:trPr>
          <w:trHeight w:val="540"/>
        </w:trPr>
        <w:tc>
          <w:tcPr>
            <w:tcW w:w="682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280" w:type="dxa"/>
            <w:vAlign w:val="bottom"/>
          </w:tcPr>
          <w:p>
            <w:pPr>
              <w:jc w:val="right"/>
              <w:spacing w:after="0"/>
              <w:rPr>
                <w:sz w:val="20"/>
                <w:szCs w:val="20"/>
                <w:color w:val="auto"/>
              </w:rPr>
            </w:pPr>
            <w:r>
              <w:rPr>
                <w:rFonts w:ascii="Arial" w:cs="Arial" w:eastAsia="Arial" w:hAnsi="Arial"/>
                <w:sz w:val="16"/>
                <w:szCs w:val="16"/>
                <w:color w:val="auto"/>
              </w:rPr>
              <w:t>1,364,918</w:t>
            </w:r>
          </w:p>
        </w:tc>
        <w:tc>
          <w:tcPr>
            <w:tcW w:w="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1,325,867</w:t>
            </w:r>
          </w:p>
        </w:tc>
        <w:tc>
          <w:tcPr>
            <w:tcW w:w="0" w:type="dxa"/>
            <w:vAlign w:val="bottom"/>
          </w:tcPr>
          <w:p>
            <w:pPr>
              <w:spacing w:after="0"/>
              <w:rPr>
                <w:sz w:val="1"/>
                <w:szCs w:val="1"/>
                <w:color w:val="auto"/>
              </w:rPr>
            </w:pPr>
          </w:p>
        </w:tc>
      </w:tr>
      <w:tr>
        <w:trPr>
          <w:trHeight w:val="270"/>
        </w:trPr>
        <w:tc>
          <w:tcPr>
            <w:tcW w:w="6820" w:type="dxa"/>
            <w:vAlign w:val="bottom"/>
          </w:tcPr>
          <w:p>
            <w:pPr>
              <w:spacing w:after="0"/>
              <w:rPr>
                <w:sz w:val="20"/>
                <w:szCs w:val="20"/>
                <w:color w:val="auto"/>
              </w:rPr>
            </w:pPr>
            <w:r>
              <w:rPr>
                <w:rFonts w:ascii="Arial" w:cs="Arial" w:eastAsia="Arial" w:hAnsi="Arial"/>
                <w:sz w:val="16"/>
                <w:szCs w:val="16"/>
                <w:color w:val="auto"/>
              </w:rPr>
              <w:t>Goodwill, net</w:t>
            </w:r>
          </w:p>
        </w:tc>
        <w:tc>
          <w:tcPr>
            <w:tcW w:w="1280" w:type="dxa"/>
            <w:vAlign w:val="bottom"/>
          </w:tcPr>
          <w:p>
            <w:pPr>
              <w:jc w:val="right"/>
              <w:spacing w:after="0"/>
              <w:rPr>
                <w:sz w:val="20"/>
                <w:szCs w:val="20"/>
                <w:color w:val="auto"/>
              </w:rPr>
            </w:pPr>
            <w:r>
              <w:rPr>
                <w:rFonts w:ascii="Arial" w:cs="Arial" w:eastAsia="Arial" w:hAnsi="Arial"/>
                <w:sz w:val="16"/>
                <w:szCs w:val="16"/>
                <w:color w:val="auto"/>
              </w:rPr>
              <w:t>255,283</w:t>
            </w:r>
          </w:p>
        </w:tc>
        <w:tc>
          <w:tcPr>
            <w:tcW w:w="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261,056</w:t>
            </w:r>
          </w:p>
        </w:tc>
        <w:tc>
          <w:tcPr>
            <w:tcW w:w="0" w:type="dxa"/>
            <w:vAlign w:val="bottom"/>
          </w:tcPr>
          <w:p>
            <w:pPr>
              <w:spacing w:after="0"/>
              <w:rPr>
                <w:sz w:val="1"/>
                <w:szCs w:val="1"/>
                <w:color w:val="auto"/>
              </w:rPr>
            </w:pPr>
          </w:p>
        </w:tc>
      </w:tr>
      <w:tr>
        <w:trPr>
          <w:trHeight w:val="270"/>
        </w:trPr>
        <w:tc>
          <w:tcPr>
            <w:tcW w:w="6820" w:type="dxa"/>
            <w:vAlign w:val="bottom"/>
          </w:tcPr>
          <w:p>
            <w:pPr>
              <w:spacing w:after="0"/>
              <w:rPr>
                <w:sz w:val="20"/>
                <w:szCs w:val="20"/>
                <w:color w:val="auto"/>
              </w:rPr>
            </w:pPr>
            <w:r>
              <w:rPr>
                <w:rFonts w:ascii="Arial" w:cs="Arial" w:eastAsia="Arial" w:hAnsi="Arial"/>
                <w:sz w:val="16"/>
                <w:szCs w:val="16"/>
                <w:color w:val="auto"/>
              </w:rPr>
              <w:t>Other intangible assets, net</w:t>
            </w:r>
          </w:p>
        </w:tc>
        <w:tc>
          <w:tcPr>
            <w:tcW w:w="1280" w:type="dxa"/>
            <w:vAlign w:val="bottom"/>
          </w:tcPr>
          <w:p>
            <w:pPr>
              <w:jc w:val="right"/>
              <w:spacing w:after="0"/>
              <w:rPr>
                <w:sz w:val="20"/>
                <w:szCs w:val="20"/>
                <w:color w:val="auto"/>
              </w:rPr>
            </w:pPr>
            <w:r>
              <w:rPr>
                <w:rFonts w:ascii="Arial" w:cs="Arial" w:eastAsia="Arial" w:hAnsi="Arial"/>
                <w:sz w:val="16"/>
                <w:szCs w:val="16"/>
                <w:color w:val="auto"/>
              </w:rPr>
              <w:t>59,589</w:t>
            </w:r>
          </w:p>
        </w:tc>
        <w:tc>
          <w:tcPr>
            <w:tcW w:w="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75,675</w:t>
            </w:r>
          </w:p>
        </w:tc>
        <w:tc>
          <w:tcPr>
            <w:tcW w:w="0" w:type="dxa"/>
            <w:vAlign w:val="bottom"/>
          </w:tcPr>
          <w:p>
            <w:pPr>
              <w:spacing w:after="0"/>
              <w:rPr>
                <w:sz w:val="1"/>
                <w:szCs w:val="1"/>
                <w:color w:val="auto"/>
              </w:rPr>
            </w:pPr>
          </w:p>
        </w:tc>
      </w:tr>
      <w:tr>
        <w:trPr>
          <w:trHeight w:val="263"/>
        </w:trPr>
        <w:tc>
          <w:tcPr>
            <w:tcW w:w="682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18,975</w:t>
            </w:r>
          </w:p>
        </w:tc>
        <w:tc>
          <w:tcPr>
            <w:tcW w:w="8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20,895</w:t>
            </w:r>
          </w:p>
        </w:tc>
        <w:tc>
          <w:tcPr>
            <w:tcW w:w="0" w:type="dxa"/>
            <w:vAlign w:val="bottom"/>
          </w:tcPr>
          <w:p>
            <w:pPr>
              <w:spacing w:after="0"/>
              <w:rPr>
                <w:sz w:val="1"/>
                <w:szCs w:val="1"/>
                <w:color w:val="auto"/>
              </w:rPr>
            </w:pPr>
          </w:p>
        </w:tc>
      </w:tr>
      <w:tr>
        <w:trPr>
          <w:trHeight w:val="264"/>
        </w:trPr>
        <w:tc>
          <w:tcPr>
            <w:tcW w:w="6820" w:type="dxa"/>
            <w:vAlign w:val="bottom"/>
          </w:tcPr>
          <w:p>
            <w:pPr>
              <w:ind w:left="340"/>
              <w:spacing w:after="0"/>
              <w:rPr>
                <w:sz w:val="20"/>
                <w:szCs w:val="20"/>
                <w:color w:val="auto"/>
              </w:rPr>
            </w:pPr>
            <w:r>
              <w:rPr>
                <w:rFonts w:ascii="Arial" w:cs="Arial" w:eastAsia="Arial" w:hAnsi="Arial"/>
                <w:sz w:val="16"/>
                <w:szCs w:val="16"/>
                <w:color w:val="auto"/>
              </w:rPr>
              <w:t>Total assets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$ 2,188,119</w:t>
            </w:r>
          </w:p>
        </w:tc>
        <w:tc>
          <w:tcPr>
            <w:tcW w:w="8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$ 2,123,237</w:t>
            </w: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6"/>
                <w:szCs w:val="16"/>
                <w:color w:val="auto"/>
              </w:rPr>
              <w:t>Current liabilities:</w:t>
            </w: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82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82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1280" w:type="dxa"/>
            <w:vAlign w:val="bottom"/>
          </w:tcPr>
          <w:p>
            <w:pPr>
              <w:jc w:val="right"/>
              <w:spacing w:after="0"/>
              <w:rPr>
                <w:sz w:val="20"/>
                <w:szCs w:val="20"/>
                <w:color w:val="auto"/>
              </w:rPr>
            </w:pPr>
            <w:r>
              <w:rPr>
                <w:rFonts w:ascii="Arial" w:cs="Arial" w:eastAsia="Arial" w:hAnsi="Arial"/>
                <w:sz w:val="16"/>
                <w:szCs w:val="16"/>
                <w:color w:val="auto"/>
              </w:rPr>
              <w:t>$ 50,272</w:t>
            </w:r>
          </w:p>
        </w:tc>
        <w:tc>
          <w:tcPr>
            <w:tcW w:w="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$ 45,376</w:t>
            </w:r>
          </w:p>
        </w:tc>
        <w:tc>
          <w:tcPr>
            <w:tcW w:w="0" w:type="dxa"/>
            <w:vAlign w:val="bottom"/>
          </w:tcPr>
          <w:p>
            <w:pPr>
              <w:spacing w:after="0"/>
              <w:rPr>
                <w:sz w:val="1"/>
                <w:szCs w:val="1"/>
                <w:color w:val="auto"/>
              </w:rPr>
            </w:pPr>
          </w:p>
        </w:tc>
      </w:tr>
      <w:tr>
        <w:trPr>
          <w:trHeight w:val="270"/>
        </w:trPr>
        <w:tc>
          <w:tcPr>
            <w:tcW w:w="6820" w:type="dxa"/>
            <w:vAlign w:val="bottom"/>
          </w:tcPr>
          <w:p>
            <w:pPr>
              <w:ind w:left="220"/>
              <w:spacing w:after="0"/>
              <w:rPr>
                <w:sz w:val="20"/>
                <w:szCs w:val="20"/>
                <w:color w:val="auto"/>
              </w:rPr>
            </w:pPr>
            <w:r>
              <w:rPr>
                <w:rFonts w:ascii="Arial" w:cs="Arial" w:eastAsia="Arial" w:hAnsi="Arial"/>
                <w:sz w:val="16"/>
                <w:szCs w:val="16"/>
                <w:color w:val="auto"/>
              </w:rPr>
              <w:t>Accrued liabilities</w:t>
            </w:r>
          </w:p>
        </w:tc>
        <w:tc>
          <w:tcPr>
            <w:tcW w:w="1280" w:type="dxa"/>
            <w:vAlign w:val="bottom"/>
          </w:tcPr>
          <w:p>
            <w:pPr>
              <w:jc w:val="right"/>
              <w:spacing w:after="0"/>
              <w:rPr>
                <w:sz w:val="20"/>
                <w:szCs w:val="20"/>
                <w:color w:val="auto"/>
              </w:rPr>
            </w:pPr>
            <w:r>
              <w:rPr>
                <w:rFonts w:ascii="Arial" w:cs="Arial" w:eastAsia="Arial" w:hAnsi="Arial"/>
                <w:sz w:val="16"/>
                <w:szCs w:val="16"/>
                <w:color w:val="auto"/>
              </w:rPr>
              <w:t>22,884</w:t>
            </w:r>
          </w:p>
        </w:tc>
        <w:tc>
          <w:tcPr>
            <w:tcW w:w="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26,874</w:t>
            </w:r>
          </w:p>
        </w:tc>
        <w:tc>
          <w:tcPr>
            <w:tcW w:w="0" w:type="dxa"/>
            <w:vAlign w:val="bottom"/>
          </w:tcPr>
          <w:p>
            <w:pPr>
              <w:spacing w:after="0"/>
              <w:rPr>
                <w:sz w:val="1"/>
                <w:szCs w:val="1"/>
                <w:color w:val="auto"/>
              </w:rPr>
            </w:pPr>
          </w:p>
        </w:tc>
      </w:tr>
    </w:tbl>
    <w:p>
      <w:pPr>
        <w:sectPr>
          <w:pgSz w:w="11900" w:h="16838" w:orient="portrait"/>
          <w:cols w:equalWidth="0" w:num="1">
            <w:col w:w="11260"/>
          </w:cols>
          <w:pgMar w:left="320" w:top="222" w:right="31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60" w:type="dxa"/>
            <w:vAlign w:val="bottom"/>
          </w:tcPr>
          <w:p>
            <w:pPr>
              <w:ind w:left="220"/>
              <w:spacing w:after="0"/>
              <w:rPr>
                <w:sz w:val="20"/>
                <w:szCs w:val="20"/>
                <w:color w:val="auto"/>
              </w:rPr>
            </w:pPr>
            <w:r>
              <w:rPr>
                <w:rFonts w:ascii="Arial" w:cs="Arial" w:eastAsia="Arial" w:hAnsi="Arial"/>
                <w:sz w:val="16"/>
                <w:szCs w:val="16"/>
                <w:color w:val="auto"/>
              </w:rPr>
              <w:t>Income taxes</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24</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2,761</w:t>
            </w:r>
          </w:p>
        </w:tc>
        <w:tc>
          <w:tcPr>
            <w:tcW w:w="0" w:type="dxa"/>
            <w:vAlign w:val="bottom"/>
          </w:tcPr>
          <w:p>
            <w:pPr>
              <w:spacing w:after="0"/>
              <w:rPr>
                <w:sz w:val="1"/>
                <w:szCs w:val="1"/>
                <w:color w:val="auto"/>
              </w:rPr>
            </w:pPr>
          </w:p>
        </w:tc>
      </w:tr>
      <w:tr>
        <w:trPr>
          <w:trHeight w:val="270"/>
        </w:trPr>
        <w:tc>
          <w:tcPr>
            <w:tcW w:w="5860" w:type="dxa"/>
            <w:vAlign w:val="bottom"/>
          </w:tcPr>
          <w:p>
            <w:pPr>
              <w:ind w:left="220"/>
              <w:spacing w:after="0"/>
              <w:rPr>
                <w:sz w:val="20"/>
                <w:szCs w:val="20"/>
                <w:color w:val="auto"/>
              </w:rPr>
            </w:pPr>
            <w:r>
              <w:rPr>
                <w:rFonts w:ascii="Arial" w:cs="Arial" w:eastAsia="Arial" w:hAnsi="Arial"/>
                <w:sz w:val="16"/>
                <w:szCs w:val="16"/>
                <w:color w:val="auto"/>
              </w:rPr>
              <w:t>Current portion of long-term debt</w:t>
            </w: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9,687</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5860" w:type="dxa"/>
            <w:vAlign w:val="bottom"/>
          </w:tcPr>
          <w:p>
            <w:pPr>
              <w:ind w:left="220"/>
              <w:spacing w:after="0"/>
              <w:rPr>
                <w:sz w:val="20"/>
                <w:szCs w:val="20"/>
                <w:color w:val="auto"/>
              </w:rPr>
            </w:pPr>
            <w:r>
              <w:rPr>
                <w:rFonts w:ascii="Arial" w:cs="Arial" w:eastAsia="Arial" w:hAnsi="Arial"/>
                <w:sz w:val="16"/>
                <w:szCs w:val="16"/>
                <w:color w:val="auto"/>
              </w:rPr>
              <w:t>Deferred revenue</w:t>
            </w: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24,150</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19,571</w:t>
            </w:r>
          </w:p>
        </w:tc>
        <w:tc>
          <w:tcPr>
            <w:tcW w:w="0" w:type="dxa"/>
            <w:vAlign w:val="bottom"/>
          </w:tcPr>
          <w:p>
            <w:pPr>
              <w:spacing w:after="0"/>
              <w:rPr>
                <w:sz w:val="1"/>
                <w:szCs w:val="1"/>
                <w:color w:val="auto"/>
              </w:rPr>
            </w:pPr>
          </w:p>
        </w:tc>
      </w:tr>
      <w:tr>
        <w:trPr>
          <w:trHeight w:val="263"/>
        </w:trPr>
        <w:tc>
          <w:tcPr>
            <w:tcW w:w="5860" w:type="dxa"/>
            <w:vAlign w:val="bottom"/>
          </w:tcPr>
          <w:p>
            <w:pPr>
              <w:ind w:left="220"/>
              <w:spacing w:after="0"/>
              <w:rPr>
                <w:sz w:val="20"/>
                <w:szCs w:val="20"/>
                <w:color w:val="auto"/>
              </w:rPr>
            </w:pPr>
            <w:r>
              <w:rPr>
                <w:rFonts w:ascii="Arial" w:cs="Arial" w:eastAsia="Arial" w:hAnsi="Arial"/>
                <w:sz w:val="16"/>
                <w:szCs w:val="16"/>
                <w:color w:val="auto"/>
              </w:rPr>
              <w:t>Other current liabilities</w:t>
            </w: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2,389</w:t>
            </w:r>
          </w:p>
        </w:tc>
        <w:tc>
          <w:tcPr>
            <w:tcW w:w="8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2,470</w:t>
            </w:r>
          </w:p>
        </w:tc>
        <w:tc>
          <w:tcPr>
            <w:tcW w:w="0" w:type="dxa"/>
            <w:vAlign w:val="bottom"/>
          </w:tcPr>
          <w:p>
            <w:pPr>
              <w:spacing w:after="0"/>
              <w:rPr>
                <w:sz w:val="1"/>
                <w:szCs w:val="1"/>
                <w:color w:val="auto"/>
              </w:rPr>
            </w:pPr>
          </w:p>
        </w:tc>
      </w:tr>
      <w:tr>
        <w:trPr>
          <w:trHeight w:val="271"/>
        </w:trPr>
        <w:tc>
          <w:tcPr>
            <w:tcW w:w="5860" w:type="dxa"/>
            <w:vAlign w:val="bottom"/>
          </w:tcPr>
          <w:p>
            <w:pPr>
              <w:ind w:left="340"/>
              <w:spacing w:after="0"/>
              <w:rPr>
                <w:sz w:val="20"/>
                <w:szCs w:val="20"/>
                <w:color w:val="auto"/>
              </w:rPr>
            </w:pPr>
            <w:r>
              <w:rPr>
                <w:rFonts w:ascii="Arial" w:cs="Arial" w:eastAsia="Arial" w:hAnsi="Arial"/>
                <w:sz w:val="16"/>
                <w:szCs w:val="16"/>
                <w:color w:val="auto"/>
              </w:rPr>
              <w:t>Total current liabilities</w:t>
            </w: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109,406</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97,052</w:t>
            </w:r>
          </w:p>
        </w:tc>
        <w:tc>
          <w:tcPr>
            <w:tcW w:w="0" w:type="dxa"/>
            <w:vAlign w:val="bottom"/>
          </w:tcPr>
          <w:p>
            <w:pPr>
              <w:spacing w:after="0"/>
              <w:rPr>
                <w:sz w:val="1"/>
                <w:szCs w:val="1"/>
                <w:color w:val="auto"/>
              </w:rPr>
            </w:pPr>
          </w:p>
        </w:tc>
      </w:tr>
      <w:tr>
        <w:trPr>
          <w:trHeight w:val="540"/>
        </w:trPr>
        <w:tc>
          <w:tcPr>
            <w:tcW w:w="5860" w:type="dxa"/>
            <w:vAlign w:val="bottom"/>
          </w:tcPr>
          <w:p>
            <w:pPr>
              <w:spacing w:after="0"/>
              <w:rPr>
                <w:sz w:val="20"/>
                <w:szCs w:val="20"/>
                <w:color w:val="auto"/>
              </w:rPr>
            </w:pPr>
            <w:r>
              <w:rPr>
                <w:rFonts w:ascii="Arial" w:cs="Arial" w:eastAsia="Arial" w:hAnsi="Arial"/>
                <w:sz w:val="16"/>
                <w:szCs w:val="16"/>
                <w:color w:val="auto"/>
              </w:rPr>
              <w:t>Long-term debt to affiliates</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335,171</w:t>
            </w:r>
          </w:p>
        </w:tc>
        <w:tc>
          <w:tcPr>
            <w:tcW w:w="0" w:type="dxa"/>
            <w:vAlign w:val="bottom"/>
          </w:tcPr>
          <w:p>
            <w:pPr>
              <w:spacing w:after="0"/>
              <w:rPr>
                <w:sz w:val="1"/>
                <w:szCs w:val="1"/>
                <w:color w:val="auto"/>
              </w:rPr>
            </w:pPr>
          </w:p>
        </w:tc>
      </w:tr>
      <w:tr>
        <w:trPr>
          <w:trHeight w:val="270"/>
        </w:trPr>
        <w:tc>
          <w:tcPr>
            <w:tcW w:w="5860" w:type="dxa"/>
            <w:vAlign w:val="bottom"/>
          </w:tcPr>
          <w:p>
            <w:pPr>
              <w:spacing w:after="0"/>
              <w:rPr>
                <w:sz w:val="20"/>
                <w:szCs w:val="20"/>
                <w:color w:val="auto"/>
              </w:rPr>
            </w:pPr>
            <w:r>
              <w:rPr>
                <w:rFonts w:ascii="Arial" w:cs="Arial" w:eastAsia="Arial" w:hAnsi="Arial"/>
                <w:sz w:val="16"/>
                <w:szCs w:val="16"/>
                <w:color w:val="auto"/>
              </w:rPr>
              <w:t>Long-term debt to third-parties</w:t>
            </w: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765,313</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5860" w:type="dxa"/>
            <w:vAlign w:val="bottom"/>
          </w:tcPr>
          <w:p>
            <w:pPr>
              <w:spacing w:after="0"/>
              <w:rPr>
                <w:sz w:val="20"/>
                <w:szCs w:val="20"/>
                <w:color w:val="auto"/>
              </w:rPr>
            </w:pPr>
            <w:r>
              <w:rPr>
                <w:rFonts w:ascii="Arial" w:cs="Arial" w:eastAsia="Arial" w:hAnsi="Arial"/>
                <w:sz w:val="16"/>
                <w:szCs w:val="16"/>
                <w:color w:val="auto"/>
              </w:rPr>
              <w:t>Deferred income taxes</w:t>
            </w: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63,753</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79,739</w:t>
            </w:r>
          </w:p>
        </w:tc>
        <w:tc>
          <w:tcPr>
            <w:tcW w:w="0" w:type="dxa"/>
            <w:vAlign w:val="bottom"/>
          </w:tcPr>
          <w:p>
            <w:pPr>
              <w:spacing w:after="0"/>
              <w:rPr>
                <w:sz w:val="1"/>
                <w:szCs w:val="1"/>
                <w:color w:val="auto"/>
              </w:rPr>
            </w:pPr>
          </w:p>
        </w:tc>
      </w:tr>
      <w:tr>
        <w:trPr>
          <w:trHeight w:val="263"/>
        </w:trPr>
        <w:tc>
          <w:tcPr>
            <w:tcW w:w="586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25,248</w:t>
            </w:r>
          </w:p>
        </w:tc>
        <w:tc>
          <w:tcPr>
            <w:tcW w:w="8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18,530</w:t>
            </w:r>
          </w:p>
        </w:tc>
        <w:tc>
          <w:tcPr>
            <w:tcW w:w="0" w:type="dxa"/>
            <w:vAlign w:val="bottom"/>
          </w:tcPr>
          <w:p>
            <w:pPr>
              <w:spacing w:after="0"/>
              <w:rPr>
                <w:sz w:val="1"/>
                <w:szCs w:val="1"/>
                <w:color w:val="auto"/>
              </w:rPr>
            </w:pPr>
          </w:p>
        </w:tc>
      </w:tr>
      <w:tr>
        <w:trPr>
          <w:trHeight w:val="271"/>
        </w:trPr>
        <w:tc>
          <w:tcPr>
            <w:tcW w:w="5860" w:type="dxa"/>
            <w:vAlign w:val="bottom"/>
          </w:tcPr>
          <w:p>
            <w:pPr>
              <w:ind w:left="340"/>
              <w:spacing w:after="0"/>
              <w:rPr>
                <w:sz w:val="20"/>
                <w:szCs w:val="20"/>
                <w:color w:val="auto"/>
              </w:rPr>
            </w:pPr>
            <w:r>
              <w:rPr>
                <w:rFonts w:ascii="Arial" w:cs="Arial" w:eastAsia="Arial" w:hAnsi="Arial"/>
                <w:sz w:val="16"/>
                <w:szCs w:val="16"/>
                <w:color w:val="auto"/>
              </w:rPr>
              <w:t>Total liabilities</w:t>
            </w: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963,720</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530,492</w:t>
            </w:r>
          </w:p>
        </w:tc>
        <w:tc>
          <w:tcPr>
            <w:tcW w:w="0" w:type="dxa"/>
            <w:vAlign w:val="bottom"/>
          </w:tcPr>
          <w:p>
            <w:pPr>
              <w:spacing w:after="0"/>
              <w:rPr>
                <w:sz w:val="1"/>
                <w:szCs w:val="1"/>
                <w:color w:val="auto"/>
              </w:rPr>
            </w:pPr>
          </w:p>
        </w:tc>
      </w:tr>
      <w:tr>
        <w:trPr>
          <w:trHeight w:val="540"/>
        </w:trPr>
        <w:tc>
          <w:tcPr>
            <w:tcW w:w="5860" w:type="dxa"/>
            <w:vAlign w:val="bottom"/>
          </w:tcPr>
          <w:p>
            <w:pPr>
              <w:spacing w:after="0"/>
              <w:rPr>
                <w:sz w:val="20"/>
                <w:szCs w:val="20"/>
                <w:color w:val="auto"/>
              </w:rPr>
            </w:pPr>
            <w:r>
              <w:rPr>
                <w:rFonts w:ascii="Arial" w:cs="Arial" w:eastAsia="Arial" w:hAnsi="Arial"/>
                <w:sz w:val="16"/>
                <w:szCs w:val="16"/>
                <w:color w:val="auto"/>
              </w:rPr>
              <w:t>Stockholders' equity / Net investment:</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60" w:type="dxa"/>
            <w:vAlign w:val="bottom"/>
          </w:tcPr>
          <w:p>
            <w:pPr>
              <w:ind w:left="220"/>
              <w:spacing w:after="0"/>
              <w:rPr>
                <w:sz w:val="20"/>
                <w:szCs w:val="20"/>
                <w:color w:val="auto"/>
              </w:rPr>
            </w:pPr>
            <w:r>
              <w:rPr>
                <w:rFonts w:ascii="Arial" w:cs="Arial" w:eastAsia="Arial" w:hAnsi="Arial"/>
                <w:sz w:val="16"/>
                <w:szCs w:val="16"/>
                <w:color w:val="auto"/>
              </w:rPr>
              <w:t>Common stock</w:t>
            </w: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1,067</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586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1,312,823</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5860" w:type="dxa"/>
            <w:vAlign w:val="bottom"/>
          </w:tcPr>
          <w:p>
            <w:pPr>
              <w:ind w:left="220"/>
              <w:spacing w:after="0"/>
              <w:rPr>
                <w:sz w:val="20"/>
                <w:szCs w:val="20"/>
                <w:color w:val="auto"/>
              </w:rPr>
            </w:pPr>
            <w:r>
              <w:rPr>
                <w:rFonts w:ascii="Arial" w:cs="Arial" w:eastAsia="Arial" w:hAnsi="Arial"/>
                <w:sz w:val="16"/>
                <w:szCs w:val="16"/>
                <w:color w:val="auto"/>
              </w:rPr>
              <w:t>Retained earnings</w:t>
            </w: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27,017</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5860" w:type="dxa"/>
            <w:vAlign w:val="bottom"/>
          </w:tcPr>
          <w:p>
            <w:pPr>
              <w:ind w:left="220"/>
              <w:spacing w:after="0"/>
              <w:rPr>
                <w:sz w:val="20"/>
                <w:szCs w:val="20"/>
                <w:color w:val="auto"/>
              </w:rPr>
            </w:pPr>
            <w:r>
              <w:rPr>
                <w:rFonts w:ascii="Arial" w:cs="Arial" w:eastAsia="Arial" w:hAnsi="Arial"/>
                <w:sz w:val="16"/>
                <w:szCs w:val="16"/>
                <w:color w:val="auto"/>
              </w:rPr>
              <w:t>Oil States International, Inc. net investment</w:t>
            </w: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1,651,013</w:t>
            </w:r>
          </w:p>
        </w:tc>
        <w:tc>
          <w:tcPr>
            <w:tcW w:w="0" w:type="dxa"/>
            <w:vAlign w:val="bottom"/>
          </w:tcPr>
          <w:p>
            <w:pPr>
              <w:spacing w:after="0"/>
              <w:rPr>
                <w:sz w:val="1"/>
                <w:szCs w:val="1"/>
                <w:color w:val="auto"/>
              </w:rPr>
            </w:pPr>
          </w:p>
        </w:tc>
      </w:tr>
      <w:tr>
        <w:trPr>
          <w:trHeight w:val="263"/>
        </w:trPr>
        <w:tc>
          <w:tcPr>
            <w:tcW w:w="5860" w:type="dxa"/>
            <w:vAlign w:val="bottom"/>
          </w:tcPr>
          <w:p>
            <w:pPr>
              <w:ind w:left="220"/>
              <w:spacing w:after="0"/>
              <w:rPr>
                <w:sz w:val="20"/>
                <w:szCs w:val="20"/>
                <w:color w:val="auto"/>
              </w:rPr>
            </w:pPr>
            <w:r>
              <w:rPr>
                <w:rFonts w:ascii="Arial" w:cs="Arial" w:eastAsia="Arial" w:hAnsi="Arial"/>
                <w:sz w:val="16"/>
                <w:szCs w:val="16"/>
                <w:color w:val="auto"/>
              </w:rPr>
              <w:t>Accumulated other comprehensive loss</w:t>
            </w: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(118,692)</w:t>
            </w:r>
          </w:p>
        </w:tc>
        <w:tc>
          <w:tcPr>
            <w:tcW w:w="8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(59,979)</w:t>
            </w:r>
          </w:p>
        </w:tc>
        <w:tc>
          <w:tcPr>
            <w:tcW w:w="0" w:type="dxa"/>
            <w:vAlign w:val="bottom"/>
          </w:tcPr>
          <w:p>
            <w:pPr>
              <w:spacing w:after="0"/>
              <w:rPr>
                <w:sz w:val="1"/>
                <w:szCs w:val="1"/>
                <w:color w:val="auto"/>
              </w:rPr>
            </w:pPr>
          </w:p>
        </w:tc>
      </w:tr>
      <w:tr>
        <w:trPr>
          <w:trHeight w:val="271"/>
        </w:trPr>
        <w:tc>
          <w:tcPr>
            <w:tcW w:w="6820" w:type="dxa"/>
            <w:vAlign w:val="bottom"/>
            <w:gridSpan w:val="4"/>
          </w:tcPr>
          <w:p>
            <w:pPr>
              <w:ind w:left="340"/>
              <w:spacing w:after="0"/>
              <w:rPr>
                <w:sz w:val="20"/>
                <w:szCs w:val="20"/>
                <w:color w:val="auto"/>
              </w:rPr>
            </w:pPr>
            <w:r>
              <w:rPr>
                <w:rFonts w:ascii="Arial" w:cs="Arial" w:eastAsia="Arial" w:hAnsi="Arial"/>
                <w:sz w:val="16"/>
                <w:szCs w:val="16"/>
                <w:color w:val="auto"/>
              </w:rPr>
              <w:t>Total Civeo Corporation stockholders' equity / Oil States International, Inc. net investment</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1,222,215</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1,591,034</w:t>
            </w:r>
          </w:p>
        </w:tc>
        <w:tc>
          <w:tcPr>
            <w:tcW w:w="0" w:type="dxa"/>
            <w:vAlign w:val="bottom"/>
          </w:tcPr>
          <w:p>
            <w:pPr>
              <w:spacing w:after="0"/>
              <w:rPr>
                <w:sz w:val="1"/>
                <w:szCs w:val="1"/>
                <w:color w:val="auto"/>
              </w:rPr>
            </w:pPr>
          </w:p>
        </w:tc>
      </w:tr>
      <w:tr>
        <w:trPr>
          <w:trHeight w:val="263"/>
        </w:trPr>
        <w:tc>
          <w:tcPr>
            <w:tcW w:w="586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2,184</w:t>
            </w:r>
          </w:p>
        </w:tc>
        <w:tc>
          <w:tcPr>
            <w:tcW w:w="8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1,711</w:t>
            </w:r>
          </w:p>
        </w:tc>
        <w:tc>
          <w:tcPr>
            <w:tcW w:w="0" w:type="dxa"/>
            <w:vAlign w:val="bottom"/>
          </w:tcPr>
          <w:p>
            <w:pPr>
              <w:spacing w:after="0"/>
              <w:rPr>
                <w:sz w:val="1"/>
                <w:szCs w:val="1"/>
                <w:color w:val="auto"/>
              </w:rPr>
            </w:pPr>
          </w:p>
        </w:tc>
      </w:tr>
      <w:tr>
        <w:trPr>
          <w:trHeight w:val="264"/>
        </w:trPr>
        <w:tc>
          <w:tcPr>
            <w:tcW w:w="5860" w:type="dxa"/>
            <w:vAlign w:val="bottom"/>
          </w:tcPr>
          <w:p>
            <w:pPr>
              <w:ind w:left="220"/>
              <w:spacing w:after="0"/>
              <w:rPr>
                <w:sz w:val="20"/>
                <w:szCs w:val="20"/>
                <w:color w:val="auto"/>
              </w:rPr>
            </w:pPr>
            <w:r>
              <w:rPr>
                <w:rFonts w:ascii="Arial" w:cs="Arial" w:eastAsia="Arial" w:hAnsi="Arial"/>
                <w:sz w:val="16"/>
                <w:szCs w:val="16"/>
                <w:color w:val="auto"/>
              </w:rPr>
              <w:t>Total stockholders' equity / net investment</w:t>
            </w: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1,224,399</w:t>
            </w:r>
          </w:p>
        </w:tc>
        <w:tc>
          <w:tcPr>
            <w:tcW w:w="8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1,592,745</w:t>
            </w:r>
          </w:p>
        </w:tc>
        <w:tc>
          <w:tcPr>
            <w:tcW w:w="0" w:type="dxa"/>
            <w:vAlign w:val="bottom"/>
          </w:tcPr>
          <w:p>
            <w:pPr>
              <w:spacing w:after="0"/>
              <w:rPr>
                <w:sz w:val="1"/>
                <w:szCs w:val="1"/>
                <w:color w:val="auto"/>
              </w:rPr>
            </w:pPr>
          </w:p>
        </w:tc>
      </w:tr>
      <w:tr>
        <w:trPr>
          <w:trHeight w:val="264"/>
        </w:trPr>
        <w:tc>
          <w:tcPr>
            <w:tcW w:w="5860" w:type="dxa"/>
            <w:vAlign w:val="bottom"/>
          </w:tcPr>
          <w:p>
            <w:pPr>
              <w:ind w:left="340"/>
              <w:spacing w:after="0"/>
              <w:rPr>
                <w:sz w:val="20"/>
                <w:szCs w:val="20"/>
                <w:color w:val="auto"/>
              </w:rPr>
            </w:pPr>
            <w:r>
              <w:rPr>
                <w:rFonts w:ascii="Arial" w:cs="Arial" w:eastAsia="Arial" w:hAnsi="Arial"/>
                <w:sz w:val="16"/>
                <w:szCs w:val="16"/>
                <w:color w:val="auto"/>
              </w:rPr>
              <w:t>Total liabilities and stockholders' equity / net investment</w:t>
            </w: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$ 2,188,119</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$ 2,123,237</w:t>
            </w:r>
          </w:p>
        </w:tc>
        <w:tc>
          <w:tcPr>
            <w:tcW w:w="0" w:type="dxa"/>
            <w:vAlign w:val="bottom"/>
          </w:tcPr>
          <w:p>
            <w:pPr>
              <w:spacing w:after="0"/>
              <w:rPr>
                <w:sz w:val="1"/>
                <w:szCs w:val="1"/>
                <w:color w:val="auto"/>
              </w:rPr>
            </w:pPr>
          </w:p>
        </w:tc>
      </w:tr>
      <w:tr>
        <w:trPr>
          <w:trHeight w:val="20"/>
        </w:trPr>
        <w:tc>
          <w:tcPr>
            <w:tcW w:w="5860" w:type="dxa"/>
            <w:vAlign w:val="bottom"/>
            <w:vMerge w:val="restart"/>
          </w:tcPr>
          <w:p>
            <w:pPr>
              <w:jc w:val="center"/>
              <w:ind w:left="1679"/>
              <w:spacing w:after="0"/>
              <w:rPr>
                <w:sz w:val="20"/>
                <w:szCs w:val="20"/>
                <w:color w:val="auto"/>
              </w:rPr>
            </w:pPr>
            <w:r>
              <w:rPr>
                <w:rFonts w:ascii="Arial" w:cs="Arial" w:eastAsia="Arial" w:hAnsi="Arial"/>
                <w:sz w:val="16"/>
                <w:szCs w:val="16"/>
                <w:b w:val="1"/>
                <w:bCs w:val="1"/>
                <w:color w:val="auto"/>
                <w:w w:val="99"/>
              </w:rPr>
              <w:t>CIVEO CORPORATION</w:t>
            </w: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4"/>
        </w:trPr>
        <w:tc>
          <w:tcPr>
            <w:tcW w:w="586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820" w:type="dxa"/>
            <w:vAlign w:val="bottom"/>
            <w:gridSpan w:val="4"/>
          </w:tcPr>
          <w:p>
            <w:pPr>
              <w:jc w:val="center"/>
              <w:ind w:left="719"/>
              <w:spacing w:after="0"/>
              <w:rPr>
                <w:sz w:val="20"/>
                <w:szCs w:val="20"/>
                <w:color w:val="auto"/>
              </w:rPr>
            </w:pPr>
            <w:r>
              <w:rPr>
                <w:rFonts w:ascii="Arial" w:cs="Arial" w:eastAsia="Arial" w:hAnsi="Arial"/>
                <w:sz w:val="16"/>
                <w:szCs w:val="16"/>
                <w:b w:val="1"/>
                <w:bCs w:val="1"/>
                <w:color w:val="auto"/>
              </w:rPr>
              <w:t>UNAUDITED CONSOLIDATED STATEMENTS OF CASH FLOWS</w:t>
            </w: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860" w:type="dxa"/>
            <w:vAlign w:val="bottom"/>
          </w:tcPr>
          <w:p>
            <w:pPr>
              <w:jc w:val="center"/>
              <w:ind w:left="1679"/>
              <w:spacing w:after="0"/>
              <w:rPr>
                <w:sz w:val="20"/>
                <w:szCs w:val="20"/>
                <w:color w:val="auto"/>
              </w:rPr>
            </w:pPr>
            <w:r>
              <w:rPr>
                <w:rFonts w:ascii="Arial" w:cs="Arial" w:eastAsia="Arial" w:hAnsi="Arial"/>
                <w:sz w:val="16"/>
                <w:szCs w:val="16"/>
                <w:b w:val="1"/>
                <w:bCs w:val="1"/>
                <w:color w:val="auto"/>
                <w:w w:val="99"/>
              </w:rPr>
              <w:t>(in thousands)</w:t>
            </w: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15"/>
        </w:trPr>
        <w:tc>
          <w:tcPr>
            <w:tcW w:w="5860" w:type="dxa"/>
            <w:vAlign w:val="bottom"/>
          </w:tcPr>
          <w:p>
            <w:pPr>
              <w:spacing w:after="0"/>
              <w:rPr>
                <w:sz w:val="24"/>
                <w:szCs w:val="24"/>
                <w:color w:val="auto"/>
              </w:rPr>
            </w:pPr>
          </w:p>
        </w:tc>
        <w:tc>
          <w:tcPr>
            <w:tcW w:w="2240" w:type="dxa"/>
            <w:vAlign w:val="bottom"/>
            <w:gridSpan w:val="5"/>
          </w:tcPr>
          <w:p>
            <w:pPr>
              <w:jc w:val="right"/>
              <w:ind w:right="500"/>
              <w:spacing w:after="0"/>
              <w:rPr>
                <w:sz w:val="20"/>
                <w:szCs w:val="20"/>
                <w:color w:val="auto"/>
              </w:rPr>
            </w:pPr>
            <w:r>
              <w:rPr>
                <w:rFonts w:ascii="Arial" w:cs="Arial" w:eastAsia="Arial" w:hAnsi="Arial"/>
                <w:sz w:val="16"/>
                <w:szCs w:val="16"/>
                <w:b w:val="1"/>
                <w:bCs w:val="1"/>
                <w:color w:val="auto"/>
                <w:w w:val="99"/>
              </w:rPr>
              <w:t>NINE MONTHS ENDED</w:t>
            </w: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860" w:type="dxa"/>
            <w:vAlign w:val="bottom"/>
          </w:tcPr>
          <w:p>
            <w:pPr>
              <w:spacing w:after="0"/>
              <w:rPr>
                <w:sz w:val="18"/>
                <w:szCs w:val="18"/>
                <w:color w:val="auto"/>
              </w:rPr>
            </w:pPr>
          </w:p>
        </w:tc>
        <w:tc>
          <w:tcPr>
            <w:tcW w:w="2240" w:type="dxa"/>
            <w:vAlign w:val="bottom"/>
            <w:gridSpan w:val="5"/>
          </w:tcPr>
          <w:p>
            <w:pPr>
              <w:jc w:val="right"/>
              <w:ind w:right="720"/>
              <w:spacing w:after="0"/>
              <w:rPr>
                <w:sz w:val="20"/>
                <w:szCs w:val="20"/>
                <w:color w:val="auto"/>
              </w:rPr>
            </w:pPr>
            <w:r>
              <w:rPr>
                <w:rFonts w:ascii="Arial" w:cs="Arial" w:eastAsia="Arial" w:hAnsi="Arial"/>
                <w:sz w:val="16"/>
                <w:szCs w:val="16"/>
                <w:b w:val="1"/>
                <w:bCs w:val="1"/>
                <w:color w:val="auto"/>
              </w:rPr>
              <w:t>SEPTEMBER 30,</w:t>
            </w: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860" w:type="dxa"/>
            <w:vAlign w:val="bottom"/>
          </w:tcPr>
          <w:p>
            <w:pPr>
              <w:spacing w:after="0"/>
              <w:rPr>
                <w:sz w:val="22"/>
                <w:szCs w:val="22"/>
                <w:color w:val="auto"/>
              </w:rPr>
            </w:pPr>
          </w:p>
        </w:tc>
        <w:tc>
          <w:tcPr>
            <w:tcW w:w="8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2014</w:t>
            </w:r>
          </w:p>
        </w:tc>
        <w:tc>
          <w:tcPr>
            <w:tcW w:w="8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2013</w:t>
            </w: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1"/>
        </w:trPr>
        <w:tc>
          <w:tcPr>
            <w:tcW w:w="5860" w:type="dxa"/>
            <w:vAlign w:val="bottom"/>
          </w:tcPr>
          <w:p>
            <w:pPr>
              <w:spacing w:after="0"/>
              <w:rPr>
                <w:sz w:val="20"/>
                <w:szCs w:val="20"/>
                <w:color w:val="auto"/>
              </w:rPr>
            </w:pPr>
            <w:r>
              <w:rPr>
                <w:rFonts w:ascii="Arial" w:cs="Arial" w:eastAsia="Arial" w:hAnsi="Arial"/>
                <w:sz w:val="16"/>
                <w:szCs w:val="16"/>
                <w:color w:val="auto"/>
              </w:rPr>
              <w:t>Cash flows from operating activities:</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60" w:type="dxa"/>
            <w:vAlign w:val="bottom"/>
          </w:tcPr>
          <w:p>
            <w:pPr>
              <w:spacing w:after="0"/>
              <w:rPr>
                <w:sz w:val="20"/>
                <w:szCs w:val="20"/>
                <w:color w:val="auto"/>
              </w:rPr>
            </w:pPr>
            <w:r>
              <w:rPr>
                <w:rFonts w:ascii="Arial" w:cs="Arial" w:eastAsia="Arial" w:hAnsi="Arial"/>
                <w:sz w:val="16"/>
                <w:szCs w:val="16"/>
                <w:color w:val="auto"/>
              </w:rPr>
              <w:t>Net income</w:t>
            </w:r>
          </w:p>
        </w:tc>
        <w:tc>
          <w:tcPr>
            <w:tcW w:w="840" w:type="dxa"/>
            <w:vAlign w:val="bottom"/>
          </w:tcPr>
          <w:p>
            <w:pPr>
              <w:jc w:val="right"/>
              <w:spacing w:after="0"/>
              <w:rPr>
                <w:sz w:val="20"/>
                <w:szCs w:val="20"/>
                <w:color w:val="auto"/>
              </w:rPr>
            </w:pPr>
            <w:r>
              <w:rPr>
                <w:rFonts w:ascii="Arial" w:cs="Arial" w:eastAsia="Arial" w:hAnsi="Arial"/>
                <w:sz w:val="16"/>
                <w:szCs w:val="16"/>
                <w:color w:val="auto"/>
              </w:rPr>
              <w:t>$ 83,644</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$ 137,487</w:t>
            </w: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60" w:type="dxa"/>
            <w:vAlign w:val="bottom"/>
          </w:tcPr>
          <w:p>
            <w:pPr>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6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840" w:type="dxa"/>
            <w:vAlign w:val="bottom"/>
          </w:tcPr>
          <w:p>
            <w:pPr>
              <w:jc w:val="right"/>
              <w:spacing w:after="0"/>
              <w:rPr>
                <w:sz w:val="20"/>
                <w:szCs w:val="20"/>
                <w:color w:val="auto"/>
              </w:rPr>
            </w:pPr>
            <w:r>
              <w:rPr>
                <w:rFonts w:ascii="Arial" w:cs="Arial" w:eastAsia="Arial" w:hAnsi="Arial"/>
                <w:sz w:val="16"/>
                <w:szCs w:val="16"/>
                <w:color w:val="auto"/>
              </w:rPr>
              <w:t>127,770</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6"/>
                <w:szCs w:val="16"/>
                <w:color w:val="auto"/>
              </w:rPr>
              <w:t>124,510</w:t>
            </w: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60" w:type="dxa"/>
            <w:vAlign w:val="bottom"/>
          </w:tcPr>
          <w:p>
            <w:pPr>
              <w:ind w:left="220"/>
              <w:spacing w:after="0"/>
              <w:rPr>
                <w:sz w:val="20"/>
                <w:szCs w:val="20"/>
                <w:color w:val="auto"/>
              </w:rPr>
            </w:pPr>
            <w:r>
              <w:rPr>
                <w:rFonts w:ascii="Arial" w:cs="Arial" w:eastAsia="Arial" w:hAnsi="Arial"/>
                <w:sz w:val="16"/>
                <w:szCs w:val="16"/>
                <w:color w:val="auto"/>
              </w:rPr>
              <w:t>Impairment charges</w:t>
            </w:r>
          </w:p>
        </w:tc>
        <w:tc>
          <w:tcPr>
            <w:tcW w:w="840" w:type="dxa"/>
            <w:vAlign w:val="bottom"/>
          </w:tcPr>
          <w:p>
            <w:pPr>
              <w:jc w:val="right"/>
              <w:spacing w:after="0"/>
              <w:rPr>
                <w:sz w:val="20"/>
                <w:szCs w:val="20"/>
                <w:color w:val="auto"/>
              </w:rPr>
            </w:pPr>
            <w:r>
              <w:rPr>
                <w:rFonts w:ascii="Arial" w:cs="Arial" w:eastAsia="Arial" w:hAnsi="Arial"/>
                <w:sz w:val="16"/>
                <w:szCs w:val="16"/>
                <w:color w:val="auto"/>
              </w:rPr>
              <w:t>11,610</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60" w:type="dxa"/>
            <w:vAlign w:val="bottom"/>
          </w:tcPr>
          <w:p>
            <w:pPr>
              <w:ind w:left="220"/>
              <w:spacing w:after="0"/>
              <w:rPr>
                <w:sz w:val="20"/>
                <w:szCs w:val="20"/>
                <w:color w:val="auto"/>
              </w:rPr>
            </w:pPr>
            <w:r>
              <w:rPr>
                <w:rFonts w:ascii="Arial" w:cs="Arial" w:eastAsia="Arial" w:hAnsi="Arial"/>
                <w:sz w:val="16"/>
                <w:szCs w:val="16"/>
                <w:color w:val="auto"/>
              </w:rPr>
              <w:t>Loss on extinguishment of debt</w:t>
            </w:r>
          </w:p>
        </w:tc>
        <w:tc>
          <w:tcPr>
            <w:tcW w:w="840" w:type="dxa"/>
            <w:vAlign w:val="bottom"/>
          </w:tcPr>
          <w:p>
            <w:pPr>
              <w:jc w:val="right"/>
              <w:spacing w:after="0"/>
              <w:rPr>
                <w:sz w:val="20"/>
                <w:szCs w:val="20"/>
                <w:color w:val="auto"/>
              </w:rPr>
            </w:pPr>
            <w:r>
              <w:rPr>
                <w:rFonts w:ascii="Arial" w:cs="Arial" w:eastAsia="Arial" w:hAnsi="Arial"/>
                <w:sz w:val="16"/>
                <w:szCs w:val="16"/>
                <w:color w:val="auto"/>
              </w:rPr>
              <w:t>3,455</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6"/>
                <w:szCs w:val="16"/>
                <w:color w:val="auto"/>
              </w:rPr>
              <w:t>1,207</w:t>
            </w: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60" w:type="dxa"/>
            <w:vAlign w:val="bottom"/>
          </w:tcPr>
          <w:p>
            <w:pPr>
              <w:ind w:left="220"/>
              <w:spacing w:after="0"/>
              <w:rPr>
                <w:sz w:val="20"/>
                <w:szCs w:val="20"/>
                <w:color w:val="auto"/>
              </w:rPr>
            </w:pPr>
            <w:r>
              <w:rPr>
                <w:rFonts w:ascii="Arial" w:cs="Arial" w:eastAsia="Arial" w:hAnsi="Arial"/>
                <w:sz w:val="16"/>
                <w:szCs w:val="16"/>
                <w:color w:val="auto"/>
              </w:rPr>
              <w:t>Deferred income tax provision (benefit)</w:t>
            </w:r>
          </w:p>
        </w:tc>
        <w:tc>
          <w:tcPr>
            <w:tcW w:w="840" w:type="dxa"/>
            <w:vAlign w:val="bottom"/>
          </w:tcPr>
          <w:p>
            <w:pPr>
              <w:jc w:val="right"/>
              <w:spacing w:after="0"/>
              <w:rPr>
                <w:sz w:val="20"/>
                <w:szCs w:val="20"/>
                <w:color w:val="auto"/>
              </w:rPr>
            </w:pPr>
            <w:r>
              <w:rPr>
                <w:rFonts w:ascii="Arial" w:cs="Arial" w:eastAsia="Arial" w:hAnsi="Arial"/>
                <w:sz w:val="16"/>
                <w:szCs w:val="16"/>
                <w:color w:val="auto"/>
              </w:rPr>
              <w:t>(1,989)</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6"/>
                <w:szCs w:val="16"/>
                <w:color w:val="auto"/>
              </w:rPr>
              <w:t>11,388</w:t>
            </w: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60" w:type="dxa"/>
            <w:vAlign w:val="bottom"/>
          </w:tcPr>
          <w:p>
            <w:pPr>
              <w:ind w:left="220"/>
              <w:spacing w:after="0"/>
              <w:rPr>
                <w:sz w:val="20"/>
                <w:szCs w:val="20"/>
                <w:color w:val="auto"/>
              </w:rPr>
            </w:pPr>
            <w:r>
              <w:rPr>
                <w:rFonts w:ascii="Arial" w:cs="Arial" w:eastAsia="Arial" w:hAnsi="Arial"/>
                <w:sz w:val="16"/>
                <w:szCs w:val="16"/>
                <w:color w:val="auto"/>
              </w:rPr>
              <w:t>Non-cash compensation charge</w:t>
            </w:r>
          </w:p>
        </w:tc>
        <w:tc>
          <w:tcPr>
            <w:tcW w:w="840" w:type="dxa"/>
            <w:vAlign w:val="bottom"/>
          </w:tcPr>
          <w:p>
            <w:pPr>
              <w:jc w:val="right"/>
              <w:spacing w:after="0"/>
              <w:rPr>
                <w:sz w:val="20"/>
                <w:szCs w:val="20"/>
                <w:color w:val="auto"/>
              </w:rPr>
            </w:pPr>
            <w:r>
              <w:rPr>
                <w:rFonts w:ascii="Arial" w:cs="Arial" w:eastAsia="Arial" w:hAnsi="Arial"/>
                <w:sz w:val="16"/>
                <w:szCs w:val="16"/>
                <w:color w:val="auto"/>
              </w:rPr>
              <w:t>5,892</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6"/>
                <w:szCs w:val="16"/>
                <w:color w:val="auto"/>
              </w:rPr>
              <w:t>4,857</w:t>
            </w: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60" w:type="dxa"/>
            <w:vAlign w:val="bottom"/>
          </w:tcPr>
          <w:p>
            <w:pPr>
              <w:ind w:left="220"/>
              <w:spacing w:after="0"/>
              <w:rPr>
                <w:sz w:val="20"/>
                <w:szCs w:val="20"/>
                <w:color w:val="auto"/>
              </w:rPr>
            </w:pPr>
            <w:r>
              <w:rPr>
                <w:rFonts w:ascii="Arial" w:cs="Arial" w:eastAsia="Arial" w:hAnsi="Arial"/>
                <w:sz w:val="16"/>
                <w:szCs w:val="16"/>
                <w:color w:val="auto"/>
              </w:rPr>
              <w:t>Gains on disposals of assets</w:t>
            </w:r>
          </w:p>
        </w:tc>
        <w:tc>
          <w:tcPr>
            <w:tcW w:w="840" w:type="dxa"/>
            <w:vAlign w:val="bottom"/>
          </w:tcPr>
          <w:p>
            <w:pPr>
              <w:jc w:val="right"/>
              <w:spacing w:after="0"/>
              <w:rPr>
                <w:sz w:val="20"/>
                <w:szCs w:val="20"/>
                <w:color w:val="auto"/>
              </w:rPr>
            </w:pPr>
            <w:r>
              <w:rPr>
                <w:rFonts w:ascii="Arial" w:cs="Arial" w:eastAsia="Arial" w:hAnsi="Arial"/>
                <w:sz w:val="16"/>
                <w:szCs w:val="16"/>
                <w:color w:val="auto"/>
              </w:rPr>
              <w:t>(776)</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6"/>
                <w:szCs w:val="16"/>
                <w:color w:val="auto"/>
              </w:rPr>
              <w:t>(2,574)</w:t>
            </w: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60" w:type="dxa"/>
            <w:vAlign w:val="bottom"/>
          </w:tcPr>
          <w:p>
            <w:pPr>
              <w:ind w:left="220"/>
              <w:spacing w:after="0"/>
              <w:rPr>
                <w:sz w:val="20"/>
                <w:szCs w:val="20"/>
                <w:color w:val="auto"/>
              </w:rPr>
            </w:pPr>
            <w:r>
              <w:rPr>
                <w:rFonts w:ascii="Arial" w:cs="Arial" w:eastAsia="Arial" w:hAnsi="Arial"/>
                <w:sz w:val="16"/>
                <w:szCs w:val="16"/>
                <w:color w:val="auto"/>
              </w:rPr>
              <w:t>Provision for loss on receivables</w:t>
            </w:r>
          </w:p>
        </w:tc>
        <w:tc>
          <w:tcPr>
            <w:tcW w:w="840" w:type="dxa"/>
            <w:vAlign w:val="bottom"/>
          </w:tcPr>
          <w:p>
            <w:pPr>
              <w:jc w:val="right"/>
              <w:spacing w:after="0"/>
              <w:rPr>
                <w:sz w:val="20"/>
                <w:szCs w:val="20"/>
                <w:color w:val="auto"/>
              </w:rPr>
            </w:pPr>
            <w:r>
              <w:rPr>
                <w:rFonts w:ascii="Arial" w:cs="Arial" w:eastAsia="Arial" w:hAnsi="Arial"/>
                <w:sz w:val="16"/>
                <w:szCs w:val="16"/>
                <w:color w:val="auto"/>
              </w:rPr>
              <w:t>(1,196)</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6"/>
                <w:szCs w:val="16"/>
                <w:color w:val="auto"/>
              </w:rPr>
              <w:t>1,081</w:t>
            </w: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60" w:type="dxa"/>
            <w:vAlign w:val="bottom"/>
          </w:tcPr>
          <w:p>
            <w:pPr>
              <w:ind w:left="220"/>
              <w:spacing w:after="0"/>
              <w:rPr>
                <w:sz w:val="20"/>
                <w:szCs w:val="20"/>
                <w:color w:val="auto"/>
              </w:rPr>
            </w:pPr>
            <w:r>
              <w:rPr>
                <w:rFonts w:ascii="Arial" w:cs="Arial" w:eastAsia="Arial" w:hAnsi="Arial"/>
                <w:sz w:val="16"/>
                <w:szCs w:val="16"/>
                <w:color w:val="auto"/>
              </w:rPr>
              <w:t>Fair value adjustment of contingent consideration</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6"/>
                <w:szCs w:val="16"/>
                <w:color w:val="auto"/>
              </w:rPr>
              <w:t>(4,014)</w:t>
            </w: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60" w:type="dxa"/>
            <w:vAlign w:val="bottom"/>
          </w:tcPr>
          <w:p>
            <w:pPr>
              <w:ind w:left="220"/>
              <w:spacing w:after="0"/>
              <w:rPr>
                <w:sz w:val="20"/>
                <w:szCs w:val="20"/>
                <w:color w:val="auto"/>
              </w:rPr>
            </w:pPr>
            <w:r>
              <w:rPr>
                <w:rFonts w:ascii="Arial" w:cs="Arial" w:eastAsia="Arial" w:hAnsi="Arial"/>
                <w:sz w:val="16"/>
                <w:szCs w:val="16"/>
                <w:color w:val="auto"/>
              </w:rPr>
              <w:t>Other, net</w:t>
            </w:r>
          </w:p>
        </w:tc>
        <w:tc>
          <w:tcPr>
            <w:tcW w:w="840" w:type="dxa"/>
            <w:vAlign w:val="bottom"/>
          </w:tcPr>
          <w:p>
            <w:pPr>
              <w:jc w:val="right"/>
              <w:spacing w:after="0"/>
              <w:rPr>
                <w:sz w:val="20"/>
                <w:szCs w:val="20"/>
                <w:color w:val="auto"/>
              </w:rPr>
            </w:pPr>
            <w:r>
              <w:rPr>
                <w:rFonts w:ascii="Arial" w:cs="Arial" w:eastAsia="Arial" w:hAnsi="Arial"/>
                <w:sz w:val="16"/>
                <w:szCs w:val="16"/>
                <w:color w:val="auto"/>
              </w:rPr>
              <w:t>2,687</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6"/>
                <w:szCs w:val="16"/>
                <w:color w:val="auto"/>
              </w:rPr>
              <w:t>112</w:t>
            </w: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6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60" w:type="dxa"/>
            <w:vAlign w:val="bottom"/>
          </w:tcPr>
          <w:p>
            <w:pPr>
              <w:ind w:left="340"/>
              <w:spacing w:after="0"/>
              <w:rPr>
                <w:sz w:val="20"/>
                <w:szCs w:val="20"/>
                <w:color w:val="auto"/>
              </w:rPr>
            </w:pPr>
            <w:r>
              <w:rPr>
                <w:rFonts w:ascii="Arial" w:cs="Arial" w:eastAsia="Arial" w:hAnsi="Arial"/>
                <w:sz w:val="16"/>
                <w:szCs w:val="16"/>
                <w:color w:val="auto"/>
              </w:rPr>
              <w:t>Accounts receivable</w:t>
            </w:r>
          </w:p>
        </w:tc>
        <w:tc>
          <w:tcPr>
            <w:tcW w:w="840" w:type="dxa"/>
            <w:vAlign w:val="bottom"/>
          </w:tcPr>
          <w:p>
            <w:pPr>
              <w:jc w:val="right"/>
              <w:spacing w:after="0"/>
              <w:rPr>
                <w:sz w:val="20"/>
                <w:szCs w:val="20"/>
                <w:color w:val="auto"/>
              </w:rPr>
            </w:pPr>
            <w:r>
              <w:rPr>
                <w:rFonts w:ascii="Arial" w:cs="Arial" w:eastAsia="Arial" w:hAnsi="Arial"/>
                <w:sz w:val="16"/>
                <w:szCs w:val="16"/>
                <w:color w:val="auto"/>
              </w:rPr>
              <w:t>(32,119)</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6"/>
                <w:szCs w:val="16"/>
                <w:color w:val="auto"/>
              </w:rPr>
              <w:t>17,459</w:t>
            </w: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60" w:type="dxa"/>
            <w:vAlign w:val="bottom"/>
          </w:tcPr>
          <w:p>
            <w:pPr>
              <w:ind w:left="340"/>
              <w:spacing w:after="0"/>
              <w:rPr>
                <w:sz w:val="20"/>
                <w:szCs w:val="20"/>
                <w:color w:val="auto"/>
              </w:rPr>
            </w:pPr>
            <w:r>
              <w:rPr>
                <w:rFonts w:ascii="Arial" w:cs="Arial" w:eastAsia="Arial" w:hAnsi="Arial"/>
                <w:sz w:val="16"/>
                <w:szCs w:val="16"/>
                <w:color w:val="auto"/>
              </w:rPr>
              <w:t>Inventories</w:t>
            </w:r>
          </w:p>
        </w:tc>
        <w:tc>
          <w:tcPr>
            <w:tcW w:w="840" w:type="dxa"/>
            <w:vAlign w:val="bottom"/>
          </w:tcPr>
          <w:p>
            <w:pPr>
              <w:jc w:val="right"/>
              <w:spacing w:after="0"/>
              <w:rPr>
                <w:sz w:val="20"/>
                <w:szCs w:val="20"/>
                <w:color w:val="auto"/>
              </w:rPr>
            </w:pPr>
            <w:r>
              <w:rPr>
                <w:rFonts w:ascii="Arial" w:cs="Arial" w:eastAsia="Arial" w:hAnsi="Arial"/>
                <w:sz w:val="16"/>
                <w:szCs w:val="16"/>
                <w:color w:val="auto"/>
              </w:rPr>
              <w:t>13,897</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6"/>
                <w:szCs w:val="16"/>
                <w:color w:val="auto"/>
              </w:rPr>
              <w:t>(5,036)</w:t>
            </w: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60" w:type="dxa"/>
            <w:vAlign w:val="bottom"/>
          </w:tcPr>
          <w:p>
            <w:pPr>
              <w:ind w:left="340"/>
              <w:spacing w:after="0"/>
              <w:rPr>
                <w:sz w:val="20"/>
                <w:szCs w:val="20"/>
                <w:color w:val="auto"/>
              </w:rPr>
            </w:pPr>
            <w:r>
              <w:rPr>
                <w:rFonts w:ascii="Arial" w:cs="Arial" w:eastAsia="Arial" w:hAnsi="Arial"/>
                <w:sz w:val="16"/>
                <w:szCs w:val="16"/>
                <w:color w:val="auto"/>
              </w:rPr>
              <w:t>Accounts payable and accrued liabilities</w:t>
            </w:r>
          </w:p>
        </w:tc>
        <w:tc>
          <w:tcPr>
            <w:tcW w:w="840" w:type="dxa"/>
            <w:vAlign w:val="bottom"/>
          </w:tcPr>
          <w:p>
            <w:pPr>
              <w:jc w:val="right"/>
              <w:spacing w:after="0"/>
              <w:rPr>
                <w:sz w:val="20"/>
                <w:szCs w:val="20"/>
                <w:color w:val="auto"/>
              </w:rPr>
            </w:pPr>
            <w:r>
              <w:rPr>
                <w:rFonts w:ascii="Arial" w:cs="Arial" w:eastAsia="Arial" w:hAnsi="Arial"/>
                <w:sz w:val="16"/>
                <w:szCs w:val="16"/>
                <w:color w:val="auto"/>
              </w:rPr>
              <w:t>10,957</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6"/>
                <w:szCs w:val="16"/>
                <w:color w:val="auto"/>
              </w:rPr>
              <w:t>(14,609)</w:t>
            </w: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60" w:type="dxa"/>
            <w:vAlign w:val="bottom"/>
          </w:tcPr>
          <w:p>
            <w:pPr>
              <w:ind w:left="340"/>
              <w:spacing w:after="0"/>
              <w:rPr>
                <w:sz w:val="20"/>
                <w:szCs w:val="20"/>
                <w:color w:val="auto"/>
              </w:rPr>
            </w:pPr>
            <w:r>
              <w:rPr>
                <w:rFonts w:ascii="Arial" w:cs="Arial" w:eastAsia="Arial" w:hAnsi="Arial"/>
                <w:sz w:val="16"/>
                <w:szCs w:val="16"/>
                <w:color w:val="auto"/>
              </w:rPr>
              <w:t>Taxes payable</w:t>
            </w:r>
          </w:p>
        </w:tc>
        <w:tc>
          <w:tcPr>
            <w:tcW w:w="840" w:type="dxa"/>
            <w:vAlign w:val="bottom"/>
          </w:tcPr>
          <w:p>
            <w:pPr>
              <w:jc w:val="right"/>
              <w:spacing w:after="0"/>
              <w:rPr>
                <w:sz w:val="20"/>
                <w:szCs w:val="20"/>
                <w:color w:val="auto"/>
              </w:rPr>
            </w:pPr>
            <w:r>
              <w:rPr>
                <w:rFonts w:ascii="Arial" w:cs="Arial" w:eastAsia="Arial" w:hAnsi="Arial"/>
                <w:sz w:val="16"/>
                <w:szCs w:val="16"/>
                <w:color w:val="auto"/>
              </w:rPr>
              <w:t>(17,340)</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6"/>
                <w:szCs w:val="16"/>
                <w:color w:val="auto"/>
              </w:rPr>
              <w:t>(20,583)</w:t>
            </w: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860" w:type="dxa"/>
            <w:vAlign w:val="bottom"/>
          </w:tcPr>
          <w:p>
            <w:pPr>
              <w:ind w:left="340"/>
              <w:spacing w:after="0"/>
              <w:rPr>
                <w:sz w:val="20"/>
                <w:szCs w:val="20"/>
                <w:color w:val="auto"/>
              </w:rPr>
            </w:pPr>
            <w:r>
              <w:rPr>
                <w:rFonts w:ascii="Arial" w:cs="Arial" w:eastAsia="Arial" w:hAnsi="Arial"/>
                <w:sz w:val="16"/>
                <w:szCs w:val="16"/>
                <w:color w:val="auto"/>
              </w:rPr>
              <w:t>Other current assets and liabilities, net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1,773</w:t>
            </w:r>
          </w:p>
        </w:tc>
        <w:tc>
          <w:tcPr>
            <w:tcW w:w="8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12,560</w:t>
            </w: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5860" w:type="dxa"/>
            <w:vAlign w:val="bottom"/>
          </w:tcPr>
          <w:p>
            <w:pPr>
              <w:spacing w:after="0"/>
              <w:rPr>
                <w:sz w:val="20"/>
                <w:szCs w:val="20"/>
                <w:color w:val="auto"/>
              </w:rPr>
            </w:pPr>
            <w:r>
              <w:rPr>
                <w:rFonts w:ascii="Arial" w:cs="Arial" w:eastAsia="Arial" w:hAnsi="Arial"/>
                <w:sz w:val="16"/>
                <w:szCs w:val="16"/>
                <w:color w:val="auto"/>
              </w:rPr>
              <w:t>Net cash flows provided by operating activities</w:t>
            </w:r>
          </w:p>
        </w:tc>
        <w:tc>
          <w:tcPr>
            <w:tcW w:w="840" w:type="dxa"/>
            <w:vAlign w:val="bottom"/>
          </w:tcPr>
          <w:p>
            <w:pPr>
              <w:jc w:val="right"/>
              <w:spacing w:after="0"/>
              <w:rPr>
                <w:sz w:val="20"/>
                <w:szCs w:val="20"/>
                <w:color w:val="auto"/>
              </w:rPr>
            </w:pPr>
            <w:r>
              <w:rPr>
                <w:rFonts w:ascii="Arial" w:cs="Arial" w:eastAsia="Arial" w:hAnsi="Arial"/>
                <w:sz w:val="16"/>
                <w:szCs w:val="16"/>
                <w:color w:val="auto"/>
              </w:rPr>
              <w:t>208,265</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6"/>
                <w:szCs w:val="16"/>
                <w:color w:val="auto"/>
              </w:rPr>
              <w:t>263,845</w:t>
            </w: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586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60" w:type="dxa"/>
            <w:vAlign w:val="bottom"/>
          </w:tcPr>
          <w:p>
            <w:pPr>
              <w:ind w:left="220"/>
              <w:spacing w:after="0"/>
              <w:rPr>
                <w:sz w:val="20"/>
                <w:szCs w:val="20"/>
                <w:color w:val="auto"/>
              </w:rPr>
            </w:pPr>
            <w:r>
              <w:rPr>
                <w:rFonts w:ascii="Arial" w:cs="Arial" w:eastAsia="Arial" w:hAnsi="Arial"/>
                <w:sz w:val="16"/>
                <w:szCs w:val="16"/>
                <w:color w:val="auto"/>
              </w:rPr>
              <w:t>Capital expenditures, including capitalized interest</w:t>
            </w:r>
          </w:p>
        </w:tc>
        <w:tc>
          <w:tcPr>
            <w:tcW w:w="840" w:type="dxa"/>
            <w:vAlign w:val="bottom"/>
          </w:tcPr>
          <w:p>
            <w:pPr>
              <w:jc w:val="right"/>
              <w:spacing w:after="0"/>
              <w:rPr>
                <w:sz w:val="20"/>
                <w:szCs w:val="20"/>
                <w:color w:val="auto"/>
              </w:rPr>
            </w:pPr>
            <w:r>
              <w:rPr>
                <w:rFonts w:ascii="Arial" w:cs="Arial" w:eastAsia="Arial" w:hAnsi="Arial"/>
                <w:sz w:val="16"/>
                <w:szCs w:val="16"/>
                <w:color w:val="auto"/>
              </w:rPr>
              <w:t>(208,297)</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(234,794)</w:t>
            </w: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860" w:type="dxa"/>
            <w:vAlign w:val="bottom"/>
          </w:tcPr>
          <w:p>
            <w:pPr>
              <w:ind w:left="220"/>
              <w:spacing w:after="0"/>
              <w:rPr>
                <w:sz w:val="20"/>
                <w:szCs w:val="20"/>
                <w:color w:val="auto"/>
              </w:rPr>
            </w:pPr>
            <w:r>
              <w:rPr>
                <w:rFonts w:ascii="Arial" w:cs="Arial" w:eastAsia="Arial" w:hAnsi="Arial"/>
                <w:sz w:val="16"/>
                <w:szCs w:val="16"/>
                <w:color w:val="auto"/>
              </w:rPr>
              <w:t>Proceeds from disposition of property, plant and equipment</w:t>
            </w:r>
          </w:p>
        </w:tc>
        <w:tc>
          <w:tcPr>
            <w:tcW w:w="840" w:type="dxa"/>
            <w:vAlign w:val="bottom"/>
          </w:tcPr>
          <w:p>
            <w:pPr>
              <w:jc w:val="right"/>
              <w:spacing w:after="0"/>
              <w:rPr>
                <w:sz w:val="20"/>
                <w:szCs w:val="20"/>
                <w:color w:val="auto"/>
              </w:rPr>
            </w:pPr>
            <w:r>
              <w:rPr>
                <w:rFonts w:ascii="Arial" w:cs="Arial" w:eastAsia="Arial" w:hAnsi="Arial"/>
                <w:sz w:val="16"/>
                <w:szCs w:val="16"/>
                <w:color w:val="auto"/>
              </w:rPr>
              <w:t>1,607</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6"/>
                <w:szCs w:val="16"/>
                <w:color w:val="auto"/>
              </w:rPr>
              <w:t>6,413</w:t>
            </w:r>
          </w:p>
        </w:tc>
        <w:tc>
          <w:tcPr>
            <w:tcW w:w="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5860" w:type="dxa"/>
            <w:vAlign w:val="bottom"/>
          </w:tcPr>
          <w:p>
            <w:pPr>
              <w:ind w:left="340"/>
              <w:spacing w:after="0"/>
              <w:rPr>
                <w:sz w:val="20"/>
                <w:szCs w:val="20"/>
                <w:color w:val="auto"/>
              </w:rPr>
            </w:pPr>
            <w:r>
              <w:rPr>
                <w:rFonts w:ascii="Arial" w:cs="Arial" w:eastAsia="Arial" w:hAnsi="Arial"/>
                <w:sz w:val="16"/>
                <w:szCs w:val="16"/>
                <w:color w:val="auto"/>
              </w:rPr>
              <w:t>Net cash flows used in investing activities</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(206,690)</w:t>
            </w:r>
          </w:p>
        </w:tc>
        <w:tc>
          <w:tcPr>
            <w:tcW w:w="80" w:type="dxa"/>
            <w:vAlign w:val="bottom"/>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(228,381)</w:t>
            </w: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586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60" w:type="dxa"/>
            <w:vAlign w:val="bottom"/>
          </w:tcPr>
          <w:p>
            <w:pPr>
              <w:ind w:left="220"/>
              <w:spacing w:after="0"/>
              <w:rPr>
                <w:sz w:val="20"/>
                <w:szCs w:val="20"/>
                <w:color w:val="auto"/>
              </w:rPr>
            </w:pPr>
            <w:r>
              <w:rPr>
                <w:rFonts w:ascii="Arial" w:cs="Arial" w:eastAsia="Arial" w:hAnsi="Arial"/>
                <w:sz w:val="16"/>
                <w:szCs w:val="16"/>
                <w:color w:val="auto"/>
              </w:rPr>
              <w:t>Revolving credit borrowings and (repayments), net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6"/>
                <w:szCs w:val="16"/>
                <w:color w:val="auto"/>
              </w:rPr>
              <w:t>(47,901)</w:t>
            </w: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60" w:type="dxa"/>
            <w:vAlign w:val="bottom"/>
          </w:tcPr>
          <w:p>
            <w:pPr>
              <w:ind w:left="220"/>
              <w:spacing w:after="0"/>
              <w:rPr>
                <w:sz w:val="20"/>
                <w:szCs w:val="20"/>
                <w:color w:val="auto"/>
              </w:rPr>
            </w:pPr>
            <w:r>
              <w:rPr>
                <w:rFonts w:ascii="Arial" w:cs="Arial" w:eastAsia="Arial" w:hAnsi="Arial"/>
                <w:sz w:val="16"/>
                <w:szCs w:val="16"/>
                <w:color w:val="auto"/>
              </w:rPr>
              <w:t>Term loan borrowings, net of issuance costs</w:t>
            </w:r>
          </w:p>
        </w:tc>
        <w:tc>
          <w:tcPr>
            <w:tcW w:w="840" w:type="dxa"/>
            <w:vAlign w:val="bottom"/>
          </w:tcPr>
          <w:p>
            <w:pPr>
              <w:jc w:val="right"/>
              <w:spacing w:after="0"/>
              <w:rPr>
                <w:sz w:val="20"/>
                <w:szCs w:val="20"/>
                <w:color w:val="auto"/>
              </w:rPr>
            </w:pPr>
            <w:r>
              <w:rPr>
                <w:rFonts w:ascii="Arial" w:cs="Arial" w:eastAsia="Arial" w:hAnsi="Arial"/>
                <w:sz w:val="16"/>
                <w:szCs w:val="16"/>
                <w:color w:val="auto"/>
              </w:rPr>
              <w:t>775,000</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60" w:type="dxa"/>
            <w:vAlign w:val="bottom"/>
          </w:tcPr>
          <w:p>
            <w:pPr>
              <w:ind w:left="220"/>
              <w:spacing w:after="0"/>
              <w:rPr>
                <w:sz w:val="20"/>
                <w:szCs w:val="20"/>
                <w:color w:val="auto"/>
              </w:rPr>
            </w:pPr>
            <w:r>
              <w:rPr>
                <w:rFonts w:ascii="Arial" w:cs="Arial" w:eastAsia="Arial" w:hAnsi="Arial"/>
                <w:sz w:val="16"/>
                <w:szCs w:val="16"/>
                <w:color w:val="auto"/>
              </w:rPr>
              <w:t>Debt issuance costs</w:t>
            </w:r>
          </w:p>
        </w:tc>
        <w:tc>
          <w:tcPr>
            <w:tcW w:w="840" w:type="dxa"/>
            <w:vAlign w:val="bottom"/>
          </w:tcPr>
          <w:p>
            <w:pPr>
              <w:jc w:val="right"/>
              <w:spacing w:after="0"/>
              <w:rPr>
                <w:sz w:val="20"/>
                <w:szCs w:val="20"/>
                <w:color w:val="auto"/>
              </w:rPr>
            </w:pPr>
            <w:r>
              <w:rPr>
                <w:rFonts w:ascii="Arial" w:cs="Arial" w:eastAsia="Arial" w:hAnsi="Arial"/>
                <w:sz w:val="16"/>
                <w:szCs w:val="16"/>
                <w:color w:val="auto"/>
              </w:rPr>
              <w:t>(9,460)</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141" w:right="1440" w:bottom="0" w:gutter="0" w:footer="0" w:header="0"/>
        </w:sectPr>
      </w:pPr>
    </w:p>
    <w:bookmarkStart w:id="6" w:name="page7"/>
    <w:bookmarkEnd w:id="6"/>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60" w:type="dxa"/>
            <w:vAlign w:val="bottom"/>
          </w:tcPr>
          <w:p>
            <w:pPr>
              <w:ind w:left="220"/>
              <w:spacing w:after="0"/>
              <w:rPr>
                <w:sz w:val="20"/>
                <w:szCs w:val="20"/>
                <w:color w:val="auto"/>
              </w:rPr>
            </w:pPr>
            <w:r>
              <w:rPr>
                <w:rFonts w:ascii="Arial" w:cs="Arial" w:eastAsia="Arial" w:hAnsi="Arial"/>
                <w:sz w:val="16"/>
                <w:szCs w:val="16"/>
                <w:color w:val="auto"/>
              </w:rPr>
              <w:t>Term loan repayments</w:t>
            </w: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(82,762)</w:t>
            </w:r>
          </w:p>
        </w:tc>
        <w:tc>
          <w:tcPr>
            <w:tcW w:w="0" w:type="dxa"/>
            <w:vAlign w:val="bottom"/>
          </w:tcPr>
          <w:p>
            <w:pPr>
              <w:spacing w:after="0"/>
              <w:rPr>
                <w:sz w:val="1"/>
                <w:szCs w:val="1"/>
                <w:color w:val="auto"/>
              </w:rPr>
            </w:pPr>
          </w:p>
        </w:tc>
      </w:tr>
      <w:tr>
        <w:trPr>
          <w:trHeight w:val="270"/>
        </w:trPr>
        <w:tc>
          <w:tcPr>
            <w:tcW w:w="2460" w:type="dxa"/>
            <w:vAlign w:val="bottom"/>
          </w:tcPr>
          <w:p>
            <w:pPr>
              <w:ind w:left="220"/>
              <w:spacing w:after="0"/>
              <w:rPr>
                <w:sz w:val="20"/>
                <w:szCs w:val="20"/>
                <w:color w:val="auto"/>
              </w:rPr>
            </w:pPr>
            <w:r>
              <w:rPr>
                <w:rFonts w:ascii="Arial" w:cs="Arial" w:eastAsia="Arial" w:hAnsi="Arial"/>
                <w:sz w:val="16"/>
                <w:szCs w:val="16"/>
                <w:color w:val="auto"/>
              </w:rPr>
              <w:t>Dividends paid</w:t>
            </w:r>
          </w:p>
        </w:tc>
        <w:tc>
          <w:tcPr>
            <w:tcW w:w="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(13,893)</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2460" w:type="dxa"/>
            <w:vAlign w:val="bottom"/>
          </w:tcPr>
          <w:p>
            <w:pPr>
              <w:ind w:left="220"/>
              <w:spacing w:after="0"/>
              <w:rPr>
                <w:sz w:val="20"/>
                <w:szCs w:val="20"/>
                <w:color w:val="auto"/>
              </w:rPr>
            </w:pPr>
            <w:r>
              <w:rPr>
                <w:rFonts w:ascii="Arial" w:cs="Arial" w:eastAsia="Arial" w:hAnsi="Arial"/>
                <w:sz w:val="16"/>
                <w:szCs w:val="16"/>
                <w:color w:val="auto"/>
              </w:rPr>
              <w:t>Distributions to Oil States</w:t>
            </w:r>
          </w:p>
        </w:tc>
        <w:tc>
          <w:tcPr>
            <w:tcW w:w="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(750,000)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2460" w:type="dxa"/>
            <w:vAlign w:val="bottom"/>
          </w:tcPr>
          <w:p>
            <w:pPr>
              <w:ind w:left="220"/>
              <w:spacing w:after="0"/>
              <w:rPr>
                <w:sz w:val="20"/>
                <w:szCs w:val="20"/>
                <w:color w:val="auto"/>
              </w:rPr>
            </w:pPr>
            <w:r>
              <w:rPr>
                <w:rFonts w:ascii="Arial" w:cs="Arial" w:eastAsia="Arial" w:hAnsi="Arial"/>
                <w:sz w:val="16"/>
                <w:szCs w:val="16"/>
                <w:color w:val="auto"/>
              </w:rPr>
              <w:t>Contributions from Oil States</w:t>
            </w:r>
          </w:p>
        </w:tc>
        <w:tc>
          <w:tcPr>
            <w:tcW w:w="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28,257</w:t>
            </w:r>
          </w:p>
        </w:tc>
        <w:tc>
          <w:tcPr>
            <w:tcW w:w="8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103,628</w:t>
            </w:r>
          </w:p>
        </w:tc>
        <w:tc>
          <w:tcPr>
            <w:tcW w:w="0" w:type="dxa"/>
            <w:vAlign w:val="bottom"/>
          </w:tcPr>
          <w:p>
            <w:pPr>
              <w:spacing w:after="0"/>
              <w:rPr>
                <w:sz w:val="1"/>
                <w:szCs w:val="1"/>
                <w:color w:val="auto"/>
              </w:rPr>
            </w:pPr>
          </w:p>
        </w:tc>
      </w:tr>
      <w:tr>
        <w:trPr>
          <w:trHeight w:val="271"/>
        </w:trPr>
        <w:tc>
          <w:tcPr>
            <w:tcW w:w="4500" w:type="dxa"/>
            <w:vAlign w:val="bottom"/>
            <w:gridSpan w:val="7"/>
          </w:tcPr>
          <w:p>
            <w:pPr>
              <w:ind w:left="340"/>
              <w:spacing w:after="0"/>
              <w:rPr>
                <w:sz w:val="20"/>
                <w:szCs w:val="20"/>
                <w:color w:val="auto"/>
              </w:rPr>
            </w:pPr>
            <w:r>
              <w:rPr>
                <w:rFonts w:ascii="Arial" w:cs="Arial" w:eastAsia="Arial" w:hAnsi="Arial"/>
                <w:sz w:val="16"/>
                <w:szCs w:val="16"/>
                <w:color w:val="auto"/>
              </w:rPr>
              <w:t>Net cash flows provided by (used in) financing activities</w:t>
            </w: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29,904</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(27,035)</w:t>
            </w:r>
          </w:p>
        </w:tc>
        <w:tc>
          <w:tcPr>
            <w:tcW w:w="0" w:type="dxa"/>
            <w:vAlign w:val="bottom"/>
          </w:tcPr>
          <w:p>
            <w:pPr>
              <w:spacing w:after="0"/>
              <w:rPr>
                <w:sz w:val="1"/>
                <w:szCs w:val="1"/>
                <w:color w:val="auto"/>
              </w:rPr>
            </w:pPr>
          </w:p>
        </w:tc>
      </w:tr>
      <w:tr>
        <w:trPr>
          <w:trHeight w:val="540"/>
        </w:trPr>
        <w:tc>
          <w:tcPr>
            <w:tcW w:w="3700" w:type="dxa"/>
            <w:vAlign w:val="bottom"/>
            <w:gridSpan w:val="5"/>
          </w:tcPr>
          <w:p>
            <w:pPr>
              <w:spacing w:after="0"/>
              <w:rPr>
                <w:sz w:val="20"/>
                <w:szCs w:val="20"/>
                <w:color w:val="auto"/>
              </w:rPr>
            </w:pPr>
            <w:r>
              <w:rPr>
                <w:rFonts w:ascii="Arial" w:cs="Arial" w:eastAsia="Arial" w:hAnsi="Arial"/>
                <w:sz w:val="16"/>
                <w:szCs w:val="16"/>
                <w:color w:val="auto"/>
              </w:rPr>
              <w:t>Effect of exchange rate changes on cash</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(13,793)</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(12,664)</w:t>
            </w:r>
          </w:p>
        </w:tc>
        <w:tc>
          <w:tcPr>
            <w:tcW w:w="0" w:type="dxa"/>
            <w:vAlign w:val="bottom"/>
          </w:tcPr>
          <w:p>
            <w:pPr>
              <w:spacing w:after="0"/>
              <w:rPr>
                <w:sz w:val="1"/>
                <w:szCs w:val="1"/>
                <w:color w:val="auto"/>
              </w:rPr>
            </w:pPr>
          </w:p>
        </w:tc>
      </w:tr>
      <w:tr>
        <w:trPr>
          <w:trHeight w:val="533"/>
        </w:trPr>
        <w:tc>
          <w:tcPr>
            <w:tcW w:w="3700" w:type="dxa"/>
            <w:vAlign w:val="bottom"/>
            <w:gridSpan w:val="5"/>
          </w:tcPr>
          <w:p>
            <w:pPr>
              <w:spacing w:after="0"/>
              <w:rPr>
                <w:sz w:val="20"/>
                <w:szCs w:val="20"/>
                <w:color w:val="auto"/>
              </w:rPr>
            </w:pPr>
            <w:r>
              <w:rPr>
                <w:rFonts w:ascii="Arial" w:cs="Arial" w:eastAsia="Arial" w:hAnsi="Arial"/>
                <w:sz w:val="16"/>
                <w:szCs w:val="16"/>
                <w:color w:val="auto"/>
              </w:rPr>
              <w:t>Net change in cash and cash equivalents</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17,686</w:t>
            </w:r>
          </w:p>
        </w:tc>
        <w:tc>
          <w:tcPr>
            <w:tcW w:w="8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(4,235)</w:t>
            </w:r>
          </w:p>
        </w:tc>
        <w:tc>
          <w:tcPr>
            <w:tcW w:w="0" w:type="dxa"/>
            <w:vAlign w:val="bottom"/>
          </w:tcPr>
          <w:p>
            <w:pPr>
              <w:spacing w:after="0"/>
              <w:rPr>
                <w:sz w:val="1"/>
                <w:szCs w:val="1"/>
                <w:color w:val="auto"/>
              </w:rPr>
            </w:pPr>
          </w:p>
        </w:tc>
      </w:tr>
      <w:tr>
        <w:trPr>
          <w:trHeight w:val="534"/>
        </w:trPr>
        <w:tc>
          <w:tcPr>
            <w:tcW w:w="3700" w:type="dxa"/>
            <w:vAlign w:val="bottom"/>
            <w:gridSpan w:val="5"/>
          </w:tcPr>
          <w:p>
            <w:pPr>
              <w:spacing w:after="0"/>
              <w:rPr>
                <w:sz w:val="20"/>
                <w:szCs w:val="20"/>
                <w:color w:val="auto"/>
              </w:rPr>
            </w:pPr>
            <w:r>
              <w:rPr>
                <w:rFonts w:ascii="Arial" w:cs="Arial" w:eastAsia="Arial" w:hAnsi="Arial"/>
                <w:sz w:val="16"/>
                <w:szCs w:val="16"/>
                <w:color w:val="auto"/>
              </w:rPr>
              <w:t>Cash and cash equivalents, beginning of period</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224,128</w:t>
            </w:r>
          </w:p>
        </w:tc>
        <w:tc>
          <w:tcPr>
            <w:tcW w:w="8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161,396</w:t>
            </w:r>
          </w:p>
        </w:tc>
        <w:tc>
          <w:tcPr>
            <w:tcW w:w="0" w:type="dxa"/>
            <w:vAlign w:val="bottom"/>
          </w:tcPr>
          <w:p>
            <w:pPr>
              <w:spacing w:after="0"/>
              <w:rPr>
                <w:sz w:val="1"/>
                <w:szCs w:val="1"/>
                <w:color w:val="auto"/>
              </w:rPr>
            </w:pPr>
          </w:p>
        </w:tc>
      </w:tr>
      <w:tr>
        <w:trPr>
          <w:trHeight w:val="534"/>
        </w:trPr>
        <w:tc>
          <w:tcPr>
            <w:tcW w:w="3700" w:type="dxa"/>
            <w:vAlign w:val="bottom"/>
            <w:gridSpan w:val="5"/>
          </w:tcPr>
          <w:p>
            <w:pPr>
              <w:spacing w:after="0"/>
              <w:rPr>
                <w:sz w:val="20"/>
                <w:szCs w:val="20"/>
                <w:color w:val="auto"/>
              </w:rPr>
            </w:pPr>
            <w:r>
              <w:rPr>
                <w:rFonts w:ascii="Arial" w:cs="Arial" w:eastAsia="Arial" w:hAnsi="Arial"/>
                <w:sz w:val="16"/>
                <w:szCs w:val="16"/>
                <w:color w:val="auto"/>
              </w:rPr>
              <w:t>Cash and cash equivalents, end of period</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$ 241,814</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$ 157,161</w:t>
            </w:r>
          </w:p>
        </w:tc>
        <w:tc>
          <w:tcPr>
            <w:tcW w:w="0" w:type="dxa"/>
            <w:vAlign w:val="bottom"/>
          </w:tcPr>
          <w:p>
            <w:pPr>
              <w:spacing w:after="0"/>
              <w:rPr>
                <w:sz w:val="1"/>
                <w:szCs w:val="1"/>
                <w:color w:val="auto"/>
              </w:rPr>
            </w:pPr>
          </w:p>
        </w:tc>
      </w:tr>
      <w:tr>
        <w:trPr>
          <w:trHeight w:val="20"/>
        </w:trPr>
        <w:tc>
          <w:tcPr>
            <w:tcW w:w="4500" w:type="dxa"/>
            <w:vAlign w:val="bottom"/>
            <w:gridSpan w:val="7"/>
            <w:vMerge w:val="restart"/>
          </w:tcPr>
          <w:p>
            <w:pPr>
              <w:jc w:val="center"/>
              <w:ind w:left="1699"/>
              <w:spacing w:after="0"/>
              <w:rPr>
                <w:sz w:val="20"/>
                <w:szCs w:val="20"/>
                <w:color w:val="auto"/>
              </w:rPr>
            </w:pPr>
            <w:r>
              <w:rPr>
                <w:rFonts w:ascii="Arial" w:cs="Arial" w:eastAsia="Arial" w:hAnsi="Arial"/>
                <w:sz w:val="16"/>
                <w:szCs w:val="16"/>
                <w:b w:val="1"/>
                <w:bCs w:val="1"/>
                <w:color w:val="auto"/>
              </w:rPr>
              <w:t>CIVEO CORPORATION</w:t>
            </w: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4"/>
        </w:trPr>
        <w:tc>
          <w:tcPr>
            <w:tcW w:w="4500" w:type="dxa"/>
            <w:vAlign w:val="bottom"/>
            <w:gridSpan w:val="7"/>
            <w:vMerge w:val="continue"/>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460" w:type="dxa"/>
            <w:vAlign w:val="bottom"/>
          </w:tcPr>
          <w:p>
            <w:pPr>
              <w:spacing w:after="0"/>
              <w:rPr>
                <w:sz w:val="16"/>
                <w:szCs w:val="16"/>
                <w:color w:val="auto"/>
              </w:rPr>
            </w:pPr>
          </w:p>
        </w:tc>
        <w:tc>
          <w:tcPr>
            <w:tcW w:w="2040" w:type="dxa"/>
            <w:vAlign w:val="bottom"/>
            <w:gridSpan w:val="6"/>
          </w:tcPr>
          <w:p>
            <w:pPr>
              <w:jc w:val="center"/>
              <w:ind w:right="680"/>
              <w:spacing w:after="0"/>
              <w:rPr>
                <w:sz w:val="20"/>
                <w:szCs w:val="20"/>
                <w:color w:val="auto"/>
              </w:rPr>
            </w:pPr>
            <w:r>
              <w:rPr>
                <w:rFonts w:ascii="Arial" w:cs="Arial" w:eastAsia="Arial" w:hAnsi="Arial"/>
                <w:sz w:val="16"/>
                <w:szCs w:val="16"/>
                <w:b w:val="1"/>
                <w:bCs w:val="1"/>
                <w:color w:val="auto"/>
                <w:w w:val="99"/>
              </w:rPr>
              <w:t>SEGMENT DATA</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gridSpan w:val="3"/>
          </w:tcPr>
          <w:p>
            <w:pPr>
              <w:jc w:val="center"/>
              <w:spacing w:after="0"/>
              <w:rPr>
                <w:sz w:val="20"/>
                <w:szCs w:val="20"/>
                <w:color w:val="auto"/>
              </w:rPr>
            </w:pPr>
            <w:r>
              <w:rPr>
                <w:rFonts w:ascii="Arial" w:cs="Arial" w:eastAsia="Arial" w:hAnsi="Arial"/>
                <w:sz w:val="16"/>
                <w:szCs w:val="16"/>
                <w:b w:val="1"/>
                <w:bCs w:val="1"/>
                <w:color w:val="auto"/>
              </w:rPr>
              <w:t>(in thousands)</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gridSpan w:val="3"/>
          </w:tcPr>
          <w:p>
            <w:pPr>
              <w:jc w:val="center"/>
              <w:spacing w:after="0"/>
              <w:rPr>
                <w:sz w:val="20"/>
                <w:szCs w:val="20"/>
                <w:color w:val="auto"/>
              </w:rPr>
            </w:pPr>
            <w:r>
              <w:rPr>
                <w:rFonts w:ascii="Arial" w:cs="Arial" w:eastAsia="Arial" w:hAnsi="Arial"/>
                <w:sz w:val="16"/>
                <w:szCs w:val="16"/>
                <w:b w:val="1"/>
                <w:bCs w:val="1"/>
                <w:color w:val="auto"/>
              </w:rPr>
              <w:t>(unaudited)</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5"/>
        </w:trPr>
        <w:tc>
          <w:tcPr>
            <w:tcW w:w="2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0" w:type="dxa"/>
            <w:vAlign w:val="bottom"/>
            <w:gridSpan w:val="10"/>
          </w:tcPr>
          <w:p>
            <w:pPr>
              <w:jc w:val="right"/>
              <w:ind w:right="440"/>
              <w:spacing w:after="0"/>
              <w:rPr>
                <w:sz w:val="20"/>
                <w:szCs w:val="20"/>
                <w:color w:val="auto"/>
              </w:rPr>
            </w:pPr>
            <w:r>
              <w:rPr>
                <w:rFonts w:ascii="Arial" w:cs="Arial" w:eastAsia="Arial" w:hAnsi="Arial"/>
                <w:sz w:val="16"/>
                <w:szCs w:val="16"/>
                <w:b w:val="1"/>
                <w:bCs w:val="1"/>
                <w:color w:val="auto"/>
              </w:rPr>
              <w:t>THREE MONTHS ENDED NINE MONTHS ENDED</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0" w:type="dxa"/>
            <w:vAlign w:val="bottom"/>
            <w:gridSpan w:val="5"/>
          </w:tcPr>
          <w:p>
            <w:pPr>
              <w:jc w:val="right"/>
              <w:ind w:right="400"/>
              <w:spacing w:after="0"/>
              <w:rPr>
                <w:sz w:val="20"/>
                <w:szCs w:val="20"/>
                <w:color w:val="auto"/>
              </w:rPr>
            </w:pPr>
            <w:r>
              <w:rPr>
                <w:rFonts w:ascii="Arial" w:cs="Arial" w:eastAsia="Arial" w:hAnsi="Arial"/>
                <w:sz w:val="16"/>
                <w:szCs w:val="16"/>
                <w:b w:val="1"/>
                <w:bCs w:val="1"/>
                <w:color w:val="auto"/>
              </w:rPr>
              <w:t>SEPTEMBER 30,</w:t>
            </w:r>
          </w:p>
        </w:tc>
        <w:tc>
          <w:tcPr>
            <w:tcW w:w="2200" w:type="dxa"/>
            <w:vAlign w:val="bottom"/>
            <w:gridSpan w:val="5"/>
          </w:tcPr>
          <w:p>
            <w:pPr>
              <w:jc w:val="right"/>
              <w:ind w:right="680"/>
              <w:spacing w:after="0"/>
              <w:rPr>
                <w:sz w:val="20"/>
                <w:szCs w:val="20"/>
                <w:color w:val="auto"/>
              </w:rPr>
            </w:pPr>
            <w:r>
              <w:rPr>
                <w:rFonts w:ascii="Arial" w:cs="Arial" w:eastAsia="Arial" w:hAnsi="Arial"/>
                <w:sz w:val="16"/>
                <w:szCs w:val="16"/>
                <w:b w:val="1"/>
                <w:bCs w:val="1"/>
                <w:color w:val="auto"/>
              </w:rPr>
              <w:t>SEPTEMBER 30,</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460" w:type="dxa"/>
            <w:vAlign w:val="bottom"/>
          </w:tcPr>
          <w:p>
            <w:pPr>
              <w:spacing w:after="0"/>
              <w:rPr>
                <w:sz w:val="22"/>
                <w:szCs w:val="22"/>
                <w:color w:val="auto"/>
              </w:rPr>
            </w:pPr>
          </w:p>
        </w:tc>
        <w:tc>
          <w:tcPr>
            <w:tcW w:w="960" w:type="dxa"/>
            <w:vAlign w:val="bottom"/>
            <w:gridSpan w:val="2"/>
          </w:tcPr>
          <w:p>
            <w:pPr>
              <w:jc w:val="right"/>
              <w:ind w:right="199"/>
              <w:spacing w:after="0"/>
              <w:rPr>
                <w:sz w:val="20"/>
                <w:szCs w:val="20"/>
                <w:color w:val="auto"/>
              </w:rPr>
            </w:pPr>
            <w:r>
              <w:rPr>
                <w:rFonts w:ascii="Arial" w:cs="Arial" w:eastAsia="Arial" w:hAnsi="Arial"/>
                <w:sz w:val="16"/>
                <w:szCs w:val="16"/>
                <w:b w:val="1"/>
                <w:bCs w:val="1"/>
                <w:color w:val="auto"/>
              </w:rPr>
              <w:t>2014</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199"/>
              <w:spacing w:after="0"/>
              <w:rPr>
                <w:sz w:val="20"/>
                <w:szCs w:val="20"/>
                <w:color w:val="auto"/>
              </w:rPr>
            </w:pPr>
            <w:r>
              <w:rPr>
                <w:rFonts w:ascii="Arial" w:cs="Arial" w:eastAsia="Arial" w:hAnsi="Arial"/>
                <w:sz w:val="16"/>
                <w:szCs w:val="16"/>
                <w:b w:val="1"/>
                <w:bCs w:val="1"/>
                <w:color w:val="auto"/>
              </w:rPr>
              <w:t>2013</w:t>
            </w:r>
          </w:p>
        </w:tc>
        <w:tc>
          <w:tcPr>
            <w:tcW w:w="80" w:type="dxa"/>
            <w:vAlign w:val="bottom"/>
          </w:tcPr>
          <w:p>
            <w:pPr>
              <w:spacing w:after="0"/>
              <w:rPr>
                <w:sz w:val="22"/>
                <w:szCs w:val="22"/>
                <w:color w:val="auto"/>
              </w:rPr>
            </w:pPr>
          </w:p>
        </w:tc>
        <w:tc>
          <w:tcPr>
            <w:tcW w:w="840" w:type="dxa"/>
            <w:vAlign w:val="bottom"/>
          </w:tcPr>
          <w:p>
            <w:pPr>
              <w:jc w:val="right"/>
              <w:ind w:right="159"/>
              <w:spacing w:after="0"/>
              <w:rPr>
                <w:sz w:val="20"/>
                <w:szCs w:val="20"/>
                <w:color w:val="auto"/>
              </w:rPr>
            </w:pPr>
            <w:r>
              <w:rPr>
                <w:rFonts w:ascii="Arial" w:cs="Arial" w:eastAsia="Arial" w:hAnsi="Arial"/>
                <w:sz w:val="16"/>
                <w:szCs w:val="16"/>
                <w:b w:val="1"/>
                <w:bCs w:val="1"/>
                <w:color w:val="auto"/>
              </w:rPr>
              <w:t>2014</w:t>
            </w:r>
          </w:p>
        </w:tc>
        <w:tc>
          <w:tcPr>
            <w:tcW w:w="80" w:type="dxa"/>
            <w:vAlign w:val="bottom"/>
          </w:tcPr>
          <w:p>
            <w:pPr>
              <w:spacing w:after="0"/>
              <w:rPr>
                <w:sz w:val="22"/>
                <w:szCs w:val="22"/>
                <w:color w:val="auto"/>
              </w:rPr>
            </w:pPr>
          </w:p>
        </w:tc>
        <w:tc>
          <w:tcPr>
            <w:tcW w:w="84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2013</w:t>
            </w: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2460" w:type="dxa"/>
            <w:vAlign w:val="bottom"/>
          </w:tcPr>
          <w:p>
            <w:pPr>
              <w:spacing w:after="0"/>
              <w:rPr>
                <w:sz w:val="20"/>
                <w:szCs w:val="20"/>
                <w:color w:val="auto"/>
              </w:rPr>
            </w:pPr>
            <w:r>
              <w:rPr>
                <w:rFonts w:ascii="Arial" w:cs="Arial" w:eastAsia="Arial" w:hAnsi="Arial"/>
                <w:sz w:val="16"/>
                <w:szCs w:val="16"/>
                <w:color w:val="auto"/>
              </w:rPr>
              <w:t>Revenues</w:t>
            </w:r>
          </w:p>
        </w:tc>
        <w:tc>
          <w:tcPr>
            <w:tcW w:w="40" w:type="dxa"/>
            <w:vAlign w:val="bottom"/>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60" w:type="dxa"/>
            <w:vAlign w:val="bottom"/>
          </w:tcPr>
          <w:p>
            <w:pPr>
              <w:ind w:left="220"/>
              <w:spacing w:after="0"/>
              <w:rPr>
                <w:sz w:val="20"/>
                <w:szCs w:val="20"/>
                <w:color w:val="auto"/>
              </w:rPr>
            </w:pPr>
            <w:r>
              <w:rPr>
                <w:rFonts w:ascii="Arial" w:cs="Arial" w:eastAsia="Arial" w:hAnsi="Arial"/>
                <w:sz w:val="16"/>
                <w:szCs w:val="16"/>
                <w:color w:val="auto"/>
              </w:rPr>
              <w:t>Canada</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$ 174,111</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8"/>
              </w:rPr>
              <w:t>$ 167,207</w:t>
            </w:r>
          </w:p>
        </w:tc>
        <w:tc>
          <w:tcPr>
            <w:tcW w:w="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$ 510,914</w:t>
            </w:r>
          </w:p>
        </w:tc>
        <w:tc>
          <w:tcPr>
            <w:tcW w:w="80" w:type="dxa"/>
            <w:vAlign w:val="bottom"/>
          </w:tcPr>
          <w:p>
            <w:pPr>
              <w:spacing w:after="0"/>
              <w:rPr>
                <w:sz w:val="23"/>
                <w:szCs w:val="23"/>
                <w:color w:val="auto"/>
              </w:rPr>
            </w:pPr>
          </w:p>
        </w:tc>
        <w:tc>
          <w:tcPr>
            <w:tcW w:w="1280" w:type="dxa"/>
            <w:vAlign w:val="bottom"/>
            <w:gridSpan w:val="3"/>
          </w:tcPr>
          <w:p>
            <w:pPr>
              <w:jc w:val="right"/>
              <w:ind w:right="440"/>
              <w:spacing w:after="0"/>
              <w:rPr>
                <w:sz w:val="20"/>
                <w:szCs w:val="20"/>
                <w:color w:val="auto"/>
              </w:rPr>
            </w:pPr>
            <w:r>
              <w:rPr>
                <w:rFonts w:ascii="Arial" w:cs="Arial" w:eastAsia="Arial" w:hAnsi="Arial"/>
                <w:sz w:val="16"/>
                <w:szCs w:val="16"/>
                <w:color w:val="auto"/>
              </w:rPr>
              <w:t>$ 535,810</w:t>
            </w: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60" w:type="dxa"/>
            <w:vAlign w:val="bottom"/>
          </w:tcPr>
          <w:p>
            <w:pPr>
              <w:ind w:left="220"/>
              <w:spacing w:after="0"/>
              <w:rPr>
                <w:sz w:val="20"/>
                <w:szCs w:val="20"/>
                <w:color w:val="auto"/>
              </w:rPr>
            </w:pPr>
            <w:r>
              <w:rPr>
                <w:rFonts w:ascii="Arial" w:cs="Arial" w:eastAsia="Arial" w:hAnsi="Arial"/>
                <w:sz w:val="16"/>
                <w:szCs w:val="16"/>
                <w:color w:val="auto"/>
              </w:rPr>
              <w:t>Australia</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54,000</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59,738</w:t>
            </w:r>
          </w:p>
        </w:tc>
        <w:tc>
          <w:tcPr>
            <w:tcW w:w="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163,847</w:t>
            </w:r>
          </w:p>
        </w:tc>
        <w:tc>
          <w:tcPr>
            <w:tcW w:w="80" w:type="dxa"/>
            <w:vAlign w:val="bottom"/>
          </w:tcPr>
          <w:p>
            <w:pPr>
              <w:spacing w:after="0"/>
              <w:rPr>
                <w:sz w:val="23"/>
                <w:szCs w:val="23"/>
                <w:color w:val="auto"/>
              </w:rPr>
            </w:pPr>
          </w:p>
        </w:tc>
        <w:tc>
          <w:tcPr>
            <w:tcW w:w="1280" w:type="dxa"/>
            <w:vAlign w:val="bottom"/>
            <w:gridSpan w:val="3"/>
          </w:tcPr>
          <w:p>
            <w:pPr>
              <w:jc w:val="right"/>
              <w:ind w:right="440"/>
              <w:spacing w:after="0"/>
              <w:rPr>
                <w:sz w:val="20"/>
                <w:szCs w:val="20"/>
                <w:color w:val="auto"/>
              </w:rPr>
            </w:pPr>
            <w:r>
              <w:rPr>
                <w:rFonts w:ascii="Arial" w:cs="Arial" w:eastAsia="Arial" w:hAnsi="Arial"/>
                <w:sz w:val="16"/>
                <w:szCs w:val="16"/>
                <w:color w:val="auto"/>
              </w:rPr>
              <w:t>191,510</w:t>
            </w: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460" w:type="dxa"/>
            <w:vAlign w:val="bottom"/>
          </w:tcPr>
          <w:p>
            <w:pPr>
              <w:ind w:left="220"/>
              <w:spacing w:after="0"/>
              <w:rPr>
                <w:sz w:val="20"/>
                <w:szCs w:val="20"/>
                <w:color w:val="auto"/>
              </w:rPr>
            </w:pPr>
            <w:r>
              <w:rPr>
                <w:rFonts w:ascii="Arial" w:cs="Arial" w:eastAsia="Arial" w:hAnsi="Arial"/>
                <w:sz w:val="16"/>
                <w:szCs w:val="16"/>
                <w:color w:val="auto"/>
              </w:rPr>
              <w:t>United States</w:t>
            </w:r>
          </w:p>
        </w:tc>
        <w:tc>
          <w:tcPr>
            <w:tcW w:w="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15,154</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18,154</w:t>
            </w:r>
          </w:p>
        </w:tc>
        <w:tc>
          <w:tcPr>
            <w:tcW w:w="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48,436</w:t>
            </w:r>
          </w:p>
        </w:tc>
        <w:tc>
          <w:tcPr>
            <w:tcW w:w="80" w:type="dxa"/>
            <w:vAlign w:val="bottom"/>
          </w:tcPr>
          <w:p>
            <w:pPr>
              <w:spacing w:after="0"/>
              <w:rPr>
                <w:sz w:val="22"/>
                <w:szCs w:val="22"/>
                <w:color w:val="auto"/>
              </w:rPr>
            </w:pPr>
          </w:p>
        </w:tc>
        <w:tc>
          <w:tcPr>
            <w:tcW w:w="1280" w:type="dxa"/>
            <w:vAlign w:val="bottom"/>
            <w:gridSpan w:val="3"/>
          </w:tcPr>
          <w:p>
            <w:pPr>
              <w:jc w:val="right"/>
              <w:ind w:right="440"/>
              <w:spacing w:after="0"/>
              <w:rPr>
                <w:sz w:val="20"/>
                <w:szCs w:val="20"/>
                <w:color w:val="auto"/>
              </w:rPr>
            </w:pPr>
            <w:r>
              <w:rPr>
                <w:rFonts w:ascii="Arial" w:cs="Arial" w:eastAsia="Arial" w:hAnsi="Arial"/>
                <w:sz w:val="16"/>
                <w:szCs w:val="16"/>
                <w:color w:val="auto"/>
              </w:rPr>
              <w:t>55,307</w:t>
            </w: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460" w:type="dxa"/>
            <w:vAlign w:val="bottom"/>
          </w:tcPr>
          <w:p>
            <w:pPr>
              <w:ind w:left="340"/>
              <w:spacing w:after="0"/>
              <w:rPr>
                <w:sz w:val="20"/>
                <w:szCs w:val="20"/>
                <w:color w:val="auto"/>
              </w:rPr>
            </w:pPr>
            <w:r>
              <w:rPr>
                <w:rFonts w:ascii="Arial" w:cs="Arial" w:eastAsia="Arial" w:hAnsi="Arial"/>
                <w:sz w:val="16"/>
                <w:szCs w:val="16"/>
                <w:color w:val="auto"/>
              </w:rPr>
              <w:t>Total revenues</w:t>
            </w:r>
          </w:p>
        </w:tc>
        <w:tc>
          <w:tcPr>
            <w:tcW w:w="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$ 243,265</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8"/>
              </w:rPr>
              <w:t>$ 245,099</w:t>
            </w:r>
          </w:p>
        </w:tc>
        <w:tc>
          <w:tcPr>
            <w:tcW w:w="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$ 723,197</w:t>
            </w:r>
          </w:p>
        </w:tc>
        <w:tc>
          <w:tcPr>
            <w:tcW w:w="80" w:type="dxa"/>
            <w:vAlign w:val="bottom"/>
          </w:tcPr>
          <w:p>
            <w:pPr>
              <w:spacing w:after="0"/>
              <w:rPr>
                <w:sz w:val="22"/>
                <w:szCs w:val="22"/>
                <w:color w:val="auto"/>
              </w:rPr>
            </w:pPr>
          </w:p>
        </w:tc>
        <w:tc>
          <w:tcPr>
            <w:tcW w:w="1280" w:type="dxa"/>
            <w:vAlign w:val="bottom"/>
            <w:gridSpan w:val="3"/>
          </w:tcPr>
          <w:p>
            <w:pPr>
              <w:jc w:val="right"/>
              <w:ind w:right="440"/>
              <w:spacing w:after="0"/>
              <w:rPr>
                <w:sz w:val="20"/>
                <w:szCs w:val="20"/>
                <w:color w:val="auto"/>
              </w:rPr>
            </w:pPr>
            <w:r>
              <w:rPr>
                <w:rFonts w:ascii="Arial" w:cs="Arial" w:eastAsia="Arial" w:hAnsi="Arial"/>
                <w:sz w:val="16"/>
                <w:szCs w:val="16"/>
                <w:color w:val="auto"/>
              </w:rPr>
              <w:t>$ 782,627</w:t>
            </w: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60" w:type="dxa"/>
            <w:vAlign w:val="bottom"/>
            <w:vMerge w:val="restart"/>
          </w:tcPr>
          <w:p>
            <w:pPr>
              <w:spacing w:after="0"/>
              <w:rPr>
                <w:sz w:val="20"/>
                <w:szCs w:val="20"/>
                <w:color w:val="auto"/>
              </w:rPr>
            </w:pPr>
            <w:r>
              <w:rPr>
                <w:rFonts w:ascii="Arial" w:cs="Arial" w:eastAsia="Arial" w:hAnsi="Arial"/>
                <w:sz w:val="16"/>
                <w:szCs w:val="16"/>
                <w:color w:val="auto"/>
              </w:rPr>
              <w:t>EBITDA (1)</w:t>
            </w:r>
          </w:p>
        </w:tc>
        <w:tc>
          <w:tcPr>
            <w:tcW w:w="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24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460" w:type="dxa"/>
            <w:vAlign w:val="bottom"/>
          </w:tcPr>
          <w:p>
            <w:pPr>
              <w:ind w:left="220"/>
              <w:spacing w:after="0"/>
              <w:rPr>
                <w:sz w:val="20"/>
                <w:szCs w:val="20"/>
                <w:color w:val="auto"/>
              </w:rPr>
            </w:pPr>
            <w:r>
              <w:rPr>
                <w:rFonts w:ascii="Arial" w:cs="Arial" w:eastAsia="Arial" w:hAnsi="Arial"/>
                <w:sz w:val="16"/>
                <w:szCs w:val="16"/>
                <w:color w:val="auto"/>
              </w:rPr>
              <w:t>Canada</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$ 67,100</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$ 64,965</w:t>
            </w:r>
          </w:p>
        </w:tc>
        <w:tc>
          <w:tcPr>
            <w:tcW w:w="840" w:type="dxa"/>
            <w:vAlign w:val="bottom"/>
          </w:tcPr>
          <w:p>
            <w:pPr>
              <w:jc w:val="right"/>
              <w:spacing w:after="0"/>
              <w:rPr>
                <w:sz w:val="20"/>
                <w:szCs w:val="20"/>
                <w:color w:val="auto"/>
              </w:rPr>
            </w:pPr>
            <w:r>
              <w:rPr>
                <w:rFonts w:ascii="Arial" w:cs="Arial" w:eastAsia="Arial" w:hAnsi="Arial"/>
                <w:sz w:val="16"/>
                <w:szCs w:val="16"/>
                <w:color w:val="auto"/>
              </w:rPr>
              <w:t>$ 175,704</w:t>
            </w:r>
          </w:p>
        </w:tc>
        <w:tc>
          <w:tcPr>
            <w:tcW w:w="80" w:type="dxa"/>
            <w:vAlign w:val="bottom"/>
          </w:tcPr>
          <w:p>
            <w:pPr>
              <w:spacing w:after="0"/>
              <w:rPr>
                <w:sz w:val="23"/>
                <w:szCs w:val="23"/>
                <w:color w:val="auto"/>
              </w:rPr>
            </w:pPr>
          </w:p>
        </w:tc>
        <w:tc>
          <w:tcPr>
            <w:tcW w:w="1280" w:type="dxa"/>
            <w:vAlign w:val="bottom"/>
            <w:gridSpan w:val="3"/>
          </w:tcPr>
          <w:p>
            <w:pPr>
              <w:jc w:val="right"/>
              <w:ind w:right="440"/>
              <w:spacing w:after="0"/>
              <w:rPr>
                <w:sz w:val="20"/>
                <w:szCs w:val="20"/>
                <w:color w:val="auto"/>
              </w:rPr>
            </w:pPr>
            <w:r>
              <w:rPr>
                <w:rFonts w:ascii="Arial" w:cs="Arial" w:eastAsia="Arial" w:hAnsi="Arial"/>
                <w:sz w:val="16"/>
                <w:szCs w:val="16"/>
                <w:color w:val="auto"/>
              </w:rPr>
              <w:t>$ 211,717</w:t>
            </w: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60" w:type="dxa"/>
            <w:vAlign w:val="bottom"/>
          </w:tcPr>
          <w:p>
            <w:pPr>
              <w:ind w:left="220"/>
              <w:spacing w:after="0"/>
              <w:rPr>
                <w:sz w:val="20"/>
                <w:szCs w:val="20"/>
                <w:color w:val="auto"/>
              </w:rPr>
            </w:pPr>
            <w:r>
              <w:rPr>
                <w:rFonts w:ascii="Arial" w:cs="Arial" w:eastAsia="Arial" w:hAnsi="Arial"/>
                <w:sz w:val="16"/>
                <w:szCs w:val="16"/>
                <w:color w:val="auto"/>
              </w:rPr>
              <w:t>Australia</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27,042</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33,374</w:t>
            </w:r>
          </w:p>
        </w:tc>
        <w:tc>
          <w:tcPr>
            <w:tcW w:w="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74,268</w:t>
            </w:r>
          </w:p>
        </w:tc>
        <w:tc>
          <w:tcPr>
            <w:tcW w:w="80" w:type="dxa"/>
            <w:vAlign w:val="bottom"/>
          </w:tcPr>
          <w:p>
            <w:pPr>
              <w:spacing w:after="0"/>
              <w:rPr>
                <w:sz w:val="23"/>
                <w:szCs w:val="23"/>
                <w:color w:val="auto"/>
              </w:rPr>
            </w:pPr>
          </w:p>
        </w:tc>
        <w:tc>
          <w:tcPr>
            <w:tcW w:w="1280" w:type="dxa"/>
            <w:vAlign w:val="bottom"/>
            <w:gridSpan w:val="3"/>
          </w:tcPr>
          <w:p>
            <w:pPr>
              <w:jc w:val="right"/>
              <w:ind w:right="440"/>
              <w:spacing w:after="0"/>
              <w:rPr>
                <w:sz w:val="20"/>
                <w:szCs w:val="20"/>
                <w:color w:val="auto"/>
              </w:rPr>
            </w:pPr>
            <w:r>
              <w:rPr>
                <w:rFonts w:ascii="Arial" w:cs="Arial" w:eastAsia="Arial" w:hAnsi="Arial"/>
                <w:sz w:val="16"/>
                <w:szCs w:val="16"/>
                <w:color w:val="auto"/>
              </w:rPr>
              <w:t>104,460</w:t>
            </w: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60" w:type="dxa"/>
            <w:vAlign w:val="bottom"/>
          </w:tcPr>
          <w:p>
            <w:pPr>
              <w:ind w:left="220"/>
              <w:spacing w:after="0"/>
              <w:rPr>
                <w:sz w:val="20"/>
                <w:szCs w:val="20"/>
                <w:color w:val="auto"/>
              </w:rPr>
            </w:pPr>
            <w:r>
              <w:rPr>
                <w:rFonts w:ascii="Arial" w:cs="Arial" w:eastAsia="Arial" w:hAnsi="Arial"/>
                <w:sz w:val="16"/>
                <w:szCs w:val="16"/>
                <w:color w:val="auto"/>
              </w:rPr>
              <w:t>United States</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3,890</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2,142</w:t>
            </w:r>
          </w:p>
        </w:tc>
        <w:tc>
          <w:tcPr>
            <w:tcW w:w="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8,067</w:t>
            </w:r>
          </w:p>
        </w:tc>
        <w:tc>
          <w:tcPr>
            <w:tcW w:w="80" w:type="dxa"/>
            <w:vAlign w:val="bottom"/>
          </w:tcPr>
          <w:p>
            <w:pPr>
              <w:spacing w:after="0"/>
              <w:rPr>
                <w:sz w:val="23"/>
                <w:szCs w:val="23"/>
                <w:color w:val="auto"/>
              </w:rPr>
            </w:pPr>
          </w:p>
        </w:tc>
        <w:tc>
          <w:tcPr>
            <w:tcW w:w="1280" w:type="dxa"/>
            <w:vAlign w:val="bottom"/>
            <w:gridSpan w:val="3"/>
          </w:tcPr>
          <w:p>
            <w:pPr>
              <w:jc w:val="right"/>
              <w:ind w:right="440"/>
              <w:spacing w:after="0"/>
              <w:rPr>
                <w:sz w:val="20"/>
                <w:szCs w:val="20"/>
                <w:color w:val="auto"/>
              </w:rPr>
            </w:pPr>
            <w:r>
              <w:rPr>
                <w:rFonts w:ascii="Arial" w:cs="Arial" w:eastAsia="Arial" w:hAnsi="Arial"/>
                <w:sz w:val="16"/>
                <w:szCs w:val="16"/>
                <w:color w:val="auto"/>
              </w:rPr>
              <w:t>13,133</w:t>
            </w: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460" w:type="dxa"/>
            <w:vAlign w:val="bottom"/>
          </w:tcPr>
          <w:p>
            <w:pPr>
              <w:ind w:left="220"/>
              <w:spacing w:after="0"/>
              <w:rPr>
                <w:sz w:val="20"/>
                <w:szCs w:val="20"/>
                <w:color w:val="auto"/>
              </w:rPr>
            </w:pPr>
            <w:r>
              <w:rPr>
                <w:rFonts w:ascii="Arial" w:cs="Arial" w:eastAsia="Arial" w:hAnsi="Arial"/>
                <w:sz w:val="16"/>
                <w:szCs w:val="16"/>
                <w:color w:val="auto"/>
              </w:rPr>
              <w:t>Corporate and eliminations</w:t>
            </w:r>
          </w:p>
        </w:tc>
        <w:tc>
          <w:tcPr>
            <w:tcW w:w="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(6,573)</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(2,203)</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(15,228)</w:t>
            </w:r>
          </w:p>
        </w:tc>
        <w:tc>
          <w:tcPr>
            <w:tcW w:w="1280" w:type="dxa"/>
            <w:vAlign w:val="bottom"/>
            <w:gridSpan w:val="3"/>
          </w:tcPr>
          <w:p>
            <w:pPr>
              <w:jc w:val="right"/>
              <w:ind w:right="440"/>
              <w:spacing w:after="0"/>
              <w:rPr>
                <w:sz w:val="20"/>
                <w:szCs w:val="20"/>
                <w:color w:val="auto"/>
              </w:rPr>
            </w:pPr>
            <w:r>
              <w:rPr>
                <w:rFonts w:ascii="Arial" w:cs="Arial" w:eastAsia="Arial" w:hAnsi="Arial"/>
                <w:sz w:val="16"/>
                <w:szCs w:val="16"/>
                <w:color w:val="auto"/>
              </w:rPr>
              <w:t>(6,249)</w:t>
            </w: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460" w:type="dxa"/>
            <w:vAlign w:val="bottom"/>
          </w:tcPr>
          <w:p>
            <w:pPr>
              <w:ind w:left="340"/>
              <w:spacing w:after="0"/>
              <w:rPr>
                <w:sz w:val="20"/>
                <w:szCs w:val="20"/>
                <w:color w:val="auto"/>
              </w:rPr>
            </w:pPr>
            <w:r>
              <w:rPr>
                <w:rFonts w:ascii="Arial" w:cs="Arial" w:eastAsia="Arial" w:hAnsi="Arial"/>
                <w:sz w:val="16"/>
                <w:szCs w:val="16"/>
                <w:color w:val="auto"/>
              </w:rPr>
              <w:t>Total EBITDA</w:t>
            </w:r>
          </w:p>
        </w:tc>
        <w:tc>
          <w:tcPr>
            <w:tcW w:w="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$ 91,459</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$ 98,278</w:t>
            </w:r>
          </w:p>
        </w:tc>
        <w:tc>
          <w:tcPr>
            <w:tcW w:w="840" w:type="dxa"/>
            <w:vAlign w:val="bottom"/>
          </w:tcPr>
          <w:p>
            <w:pPr>
              <w:jc w:val="right"/>
              <w:spacing w:after="0"/>
              <w:rPr>
                <w:sz w:val="20"/>
                <w:szCs w:val="20"/>
                <w:color w:val="auto"/>
              </w:rPr>
            </w:pPr>
            <w:r>
              <w:rPr>
                <w:rFonts w:ascii="Arial" w:cs="Arial" w:eastAsia="Arial" w:hAnsi="Arial"/>
                <w:sz w:val="16"/>
                <w:szCs w:val="16"/>
                <w:color w:val="auto"/>
              </w:rPr>
              <w:t>$ 242,811</w:t>
            </w:r>
          </w:p>
        </w:tc>
        <w:tc>
          <w:tcPr>
            <w:tcW w:w="80" w:type="dxa"/>
            <w:vAlign w:val="bottom"/>
          </w:tcPr>
          <w:p>
            <w:pPr>
              <w:spacing w:after="0"/>
              <w:rPr>
                <w:sz w:val="22"/>
                <w:szCs w:val="22"/>
                <w:color w:val="auto"/>
              </w:rPr>
            </w:pPr>
          </w:p>
        </w:tc>
        <w:tc>
          <w:tcPr>
            <w:tcW w:w="1280" w:type="dxa"/>
            <w:vAlign w:val="bottom"/>
            <w:gridSpan w:val="3"/>
          </w:tcPr>
          <w:p>
            <w:pPr>
              <w:jc w:val="right"/>
              <w:ind w:right="440"/>
              <w:spacing w:after="0"/>
              <w:rPr>
                <w:sz w:val="20"/>
                <w:szCs w:val="20"/>
                <w:color w:val="auto"/>
              </w:rPr>
            </w:pPr>
            <w:r>
              <w:rPr>
                <w:rFonts w:ascii="Arial" w:cs="Arial" w:eastAsia="Arial" w:hAnsi="Arial"/>
                <w:sz w:val="16"/>
                <w:szCs w:val="16"/>
                <w:color w:val="auto"/>
              </w:rPr>
              <w:t>$ 323,061</w:t>
            </w: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60" w:type="dxa"/>
            <w:vAlign w:val="bottom"/>
            <w:vMerge w:val="restart"/>
          </w:tcPr>
          <w:p>
            <w:pPr>
              <w:spacing w:after="0"/>
              <w:rPr>
                <w:sz w:val="20"/>
                <w:szCs w:val="20"/>
                <w:color w:val="auto"/>
              </w:rPr>
            </w:pPr>
            <w:r>
              <w:rPr>
                <w:rFonts w:ascii="Arial" w:cs="Arial" w:eastAsia="Arial" w:hAnsi="Arial"/>
                <w:sz w:val="16"/>
                <w:szCs w:val="16"/>
                <w:color w:val="auto"/>
              </w:rPr>
              <w:t>Adjusted EBITDA (1)</w:t>
            </w:r>
          </w:p>
        </w:tc>
        <w:tc>
          <w:tcPr>
            <w:tcW w:w="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24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460" w:type="dxa"/>
            <w:vAlign w:val="bottom"/>
          </w:tcPr>
          <w:p>
            <w:pPr>
              <w:ind w:left="220"/>
              <w:spacing w:after="0"/>
              <w:rPr>
                <w:sz w:val="20"/>
                <w:szCs w:val="20"/>
                <w:color w:val="auto"/>
              </w:rPr>
            </w:pPr>
            <w:r>
              <w:rPr>
                <w:rFonts w:ascii="Arial" w:cs="Arial" w:eastAsia="Arial" w:hAnsi="Arial"/>
                <w:sz w:val="16"/>
                <w:szCs w:val="16"/>
                <w:color w:val="auto"/>
              </w:rPr>
              <w:t>Canada</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$ 67,104</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$ 64,965</w:t>
            </w:r>
          </w:p>
        </w:tc>
        <w:tc>
          <w:tcPr>
            <w:tcW w:w="840" w:type="dxa"/>
            <w:vAlign w:val="bottom"/>
          </w:tcPr>
          <w:p>
            <w:pPr>
              <w:jc w:val="right"/>
              <w:spacing w:after="0"/>
              <w:rPr>
                <w:sz w:val="20"/>
                <w:szCs w:val="20"/>
                <w:color w:val="auto"/>
              </w:rPr>
            </w:pPr>
            <w:r>
              <w:rPr>
                <w:rFonts w:ascii="Arial" w:cs="Arial" w:eastAsia="Arial" w:hAnsi="Arial"/>
                <w:sz w:val="16"/>
                <w:szCs w:val="16"/>
                <w:color w:val="auto"/>
              </w:rPr>
              <w:t>$ 179,830</w:t>
            </w:r>
          </w:p>
        </w:tc>
        <w:tc>
          <w:tcPr>
            <w:tcW w:w="80" w:type="dxa"/>
            <w:vAlign w:val="bottom"/>
          </w:tcPr>
          <w:p>
            <w:pPr>
              <w:spacing w:after="0"/>
              <w:rPr>
                <w:sz w:val="23"/>
                <w:szCs w:val="23"/>
                <w:color w:val="auto"/>
              </w:rPr>
            </w:pPr>
          </w:p>
        </w:tc>
        <w:tc>
          <w:tcPr>
            <w:tcW w:w="1280" w:type="dxa"/>
            <w:vAlign w:val="bottom"/>
            <w:gridSpan w:val="3"/>
          </w:tcPr>
          <w:p>
            <w:pPr>
              <w:jc w:val="right"/>
              <w:ind w:right="440"/>
              <w:spacing w:after="0"/>
              <w:rPr>
                <w:sz w:val="20"/>
                <w:szCs w:val="20"/>
                <w:color w:val="auto"/>
              </w:rPr>
            </w:pPr>
            <w:r>
              <w:rPr>
                <w:rFonts w:ascii="Arial" w:cs="Arial" w:eastAsia="Arial" w:hAnsi="Arial"/>
                <w:sz w:val="16"/>
                <w:szCs w:val="16"/>
                <w:color w:val="auto"/>
              </w:rPr>
              <w:t>$ 211,717</w:t>
            </w: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60" w:type="dxa"/>
            <w:vAlign w:val="bottom"/>
          </w:tcPr>
          <w:p>
            <w:pPr>
              <w:ind w:left="220"/>
              <w:spacing w:after="0"/>
              <w:rPr>
                <w:sz w:val="20"/>
                <w:szCs w:val="20"/>
                <w:color w:val="auto"/>
              </w:rPr>
            </w:pPr>
            <w:r>
              <w:rPr>
                <w:rFonts w:ascii="Arial" w:cs="Arial" w:eastAsia="Arial" w:hAnsi="Arial"/>
                <w:sz w:val="16"/>
                <w:szCs w:val="16"/>
                <w:color w:val="auto"/>
              </w:rPr>
              <w:t>Australia</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27,073</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33,374</w:t>
            </w:r>
          </w:p>
        </w:tc>
        <w:tc>
          <w:tcPr>
            <w:tcW w:w="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83,531</w:t>
            </w:r>
          </w:p>
        </w:tc>
        <w:tc>
          <w:tcPr>
            <w:tcW w:w="80" w:type="dxa"/>
            <w:vAlign w:val="bottom"/>
          </w:tcPr>
          <w:p>
            <w:pPr>
              <w:spacing w:after="0"/>
              <w:rPr>
                <w:sz w:val="23"/>
                <w:szCs w:val="23"/>
                <w:color w:val="auto"/>
              </w:rPr>
            </w:pPr>
          </w:p>
        </w:tc>
        <w:tc>
          <w:tcPr>
            <w:tcW w:w="1280" w:type="dxa"/>
            <w:vAlign w:val="bottom"/>
            <w:gridSpan w:val="3"/>
          </w:tcPr>
          <w:p>
            <w:pPr>
              <w:jc w:val="right"/>
              <w:ind w:right="440"/>
              <w:spacing w:after="0"/>
              <w:rPr>
                <w:sz w:val="20"/>
                <w:szCs w:val="20"/>
                <w:color w:val="auto"/>
              </w:rPr>
            </w:pPr>
            <w:r>
              <w:rPr>
                <w:rFonts w:ascii="Arial" w:cs="Arial" w:eastAsia="Arial" w:hAnsi="Arial"/>
                <w:sz w:val="16"/>
                <w:szCs w:val="16"/>
                <w:color w:val="auto"/>
              </w:rPr>
              <w:t>104,460</w:t>
            </w: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60" w:type="dxa"/>
            <w:vAlign w:val="bottom"/>
          </w:tcPr>
          <w:p>
            <w:pPr>
              <w:ind w:left="220"/>
              <w:spacing w:after="0"/>
              <w:rPr>
                <w:sz w:val="20"/>
                <w:szCs w:val="20"/>
                <w:color w:val="auto"/>
              </w:rPr>
            </w:pPr>
            <w:r>
              <w:rPr>
                <w:rFonts w:ascii="Arial" w:cs="Arial" w:eastAsia="Arial" w:hAnsi="Arial"/>
                <w:sz w:val="16"/>
                <w:szCs w:val="16"/>
                <w:color w:val="auto"/>
              </w:rPr>
              <w:t>United States</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3,959</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2,142</w:t>
            </w:r>
          </w:p>
        </w:tc>
        <w:tc>
          <w:tcPr>
            <w:tcW w:w="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10,850</w:t>
            </w:r>
          </w:p>
        </w:tc>
        <w:tc>
          <w:tcPr>
            <w:tcW w:w="80" w:type="dxa"/>
            <w:vAlign w:val="bottom"/>
          </w:tcPr>
          <w:p>
            <w:pPr>
              <w:spacing w:after="0"/>
              <w:rPr>
                <w:sz w:val="23"/>
                <w:szCs w:val="23"/>
                <w:color w:val="auto"/>
              </w:rPr>
            </w:pPr>
          </w:p>
        </w:tc>
        <w:tc>
          <w:tcPr>
            <w:tcW w:w="1280" w:type="dxa"/>
            <w:vAlign w:val="bottom"/>
            <w:gridSpan w:val="3"/>
          </w:tcPr>
          <w:p>
            <w:pPr>
              <w:jc w:val="right"/>
              <w:ind w:right="440"/>
              <w:spacing w:after="0"/>
              <w:rPr>
                <w:sz w:val="20"/>
                <w:szCs w:val="20"/>
                <w:color w:val="auto"/>
              </w:rPr>
            </w:pPr>
            <w:r>
              <w:rPr>
                <w:rFonts w:ascii="Arial" w:cs="Arial" w:eastAsia="Arial" w:hAnsi="Arial"/>
                <w:sz w:val="16"/>
                <w:szCs w:val="16"/>
                <w:color w:val="auto"/>
              </w:rPr>
              <w:t>9,128</w:t>
            </w: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460" w:type="dxa"/>
            <w:vAlign w:val="bottom"/>
          </w:tcPr>
          <w:p>
            <w:pPr>
              <w:ind w:left="220"/>
              <w:spacing w:after="0"/>
              <w:rPr>
                <w:sz w:val="20"/>
                <w:szCs w:val="20"/>
                <w:color w:val="auto"/>
              </w:rPr>
            </w:pPr>
            <w:r>
              <w:rPr>
                <w:rFonts w:ascii="Arial" w:cs="Arial" w:eastAsia="Arial" w:hAnsi="Arial"/>
                <w:sz w:val="16"/>
                <w:szCs w:val="16"/>
                <w:color w:val="auto"/>
              </w:rPr>
              <w:t>Corporate and eliminations</w:t>
            </w:r>
          </w:p>
        </w:tc>
        <w:tc>
          <w:tcPr>
            <w:tcW w:w="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(5,649)</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(2,203)</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(12,176)</w:t>
            </w:r>
          </w:p>
        </w:tc>
        <w:tc>
          <w:tcPr>
            <w:tcW w:w="1280" w:type="dxa"/>
            <w:vAlign w:val="bottom"/>
            <w:gridSpan w:val="3"/>
          </w:tcPr>
          <w:p>
            <w:pPr>
              <w:jc w:val="right"/>
              <w:ind w:right="440"/>
              <w:spacing w:after="0"/>
              <w:rPr>
                <w:sz w:val="20"/>
                <w:szCs w:val="20"/>
                <w:color w:val="auto"/>
              </w:rPr>
            </w:pPr>
            <w:r>
              <w:rPr>
                <w:rFonts w:ascii="Arial" w:cs="Arial" w:eastAsia="Arial" w:hAnsi="Arial"/>
                <w:sz w:val="16"/>
                <w:szCs w:val="16"/>
                <w:color w:val="auto"/>
              </w:rPr>
              <w:t>(6,249)</w:t>
            </w: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460" w:type="dxa"/>
            <w:vAlign w:val="bottom"/>
          </w:tcPr>
          <w:p>
            <w:pPr>
              <w:ind w:left="340"/>
              <w:spacing w:after="0"/>
              <w:rPr>
                <w:sz w:val="20"/>
                <w:szCs w:val="20"/>
                <w:color w:val="auto"/>
              </w:rPr>
            </w:pPr>
            <w:r>
              <w:rPr>
                <w:rFonts w:ascii="Arial" w:cs="Arial" w:eastAsia="Arial" w:hAnsi="Arial"/>
                <w:sz w:val="16"/>
                <w:szCs w:val="16"/>
                <w:color w:val="auto"/>
              </w:rPr>
              <w:t>Total adjusted EBITDA</w:t>
            </w:r>
          </w:p>
        </w:tc>
        <w:tc>
          <w:tcPr>
            <w:tcW w:w="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$ 92,487</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$ 98,278</w:t>
            </w:r>
          </w:p>
        </w:tc>
        <w:tc>
          <w:tcPr>
            <w:tcW w:w="840" w:type="dxa"/>
            <w:vAlign w:val="bottom"/>
          </w:tcPr>
          <w:p>
            <w:pPr>
              <w:jc w:val="right"/>
              <w:spacing w:after="0"/>
              <w:rPr>
                <w:sz w:val="20"/>
                <w:szCs w:val="20"/>
                <w:color w:val="auto"/>
              </w:rPr>
            </w:pPr>
            <w:r>
              <w:rPr>
                <w:rFonts w:ascii="Arial" w:cs="Arial" w:eastAsia="Arial" w:hAnsi="Arial"/>
                <w:sz w:val="16"/>
                <w:szCs w:val="16"/>
                <w:color w:val="auto"/>
              </w:rPr>
              <w:t>$ 262,035</w:t>
            </w:r>
          </w:p>
        </w:tc>
        <w:tc>
          <w:tcPr>
            <w:tcW w:w="80" w:type="dxa"/>
            <w:vAlign w:val="bottom"/>
          </w:tcPr>
          <w:p>
            <w:pPr>
              <w:spacing w:after="0"/>
              <w:rPr>
                <w:sz w:val="22"/>
                <w:szCs w:val="22"/>
                <w:color w:val="auto"/>
              </w:rPr>
            </w:pPr>
          </w:p>
        </w:tc>
        <w:tc>
          <w:tcPr>
            <w:tcW w:w="1280" w:type="dxa"/>
            <w:vAlign w:val="bottom"/>
            <w:gridSpan w:val="3"/>
          </w:tcPr>
          <w:p>
            <w:pPr>
              <w:jc w:val="right"/>
              <w:ind w:right="440"/>
              <w:spacing w:after="0"/>
              <w:rPr>
                <w:sz w:val="20"/>
                <w:szCs w:val="20"/>
                <w:color w:val="auto"/>
              </w:rPr>
            </w:pPr>
            <w:r>
              <w:rPr>
                <w:rFonts w:ascii="Arial" w:cs="Arial" w:eastAsia="Arial" w:hAnsi="Arial"/>
                <w:sz w:val="16"/>
                <w:szCs w:val="16"/>
                <w:color w:val="auto"/>
              </w:rPr>
              <w:t>$ 319,056</w:t>
            </w: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60" w:type="dxa"/>
            <w:vAlign w:val="bottom"/>
            <w:vMerge w:val="restart"/>
          </w:tcPr>
          <w:p>
            <w:pPr>
              <w:spacing w:after="0"/>
              <w:rPr>
                <w:sz w:val="20"/>
                <w:szCs w:val="20"/>
                <w:color w:val="auto"/>
              </w:rPr>
            </w:pPr>
            <w:r>
              <w:rPr>
                <w:rFonts w:ascii="Arial" w:cs="Arial" w:eastAsia="Arial" w:hAnsi="Arial"/>
                <w:sz w:val="16"/>
                <w:szCs w:val="16"/>
                <w:color w:val="auto"/>
              </w:rPr>
              <w:t>Operating income (loss)</w:t>
            </w:r>
          </w:p>
        </w:tc>
        <w:tc>
          <w:tcPr>
            <w:tcW w:w="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24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460" w:type="dxa"/>
            <w:vAlign w:val="bottom"/>
          </w:tcPr>
          <w:p>
            <w:pPr>
              <w:ind w:left="220"/>
              <w:spacing w:after="0"/>
              <w:rPr>
                <w:sz w:val="20"/>
                <w:szCs w:val="20"/>
                <w:color w:val="auto"/>
              </w:rPr>
            </w:pPr>
            <w:r>
              <w:rPr>
                <w:rFonts w:ascii="Arial" w:cs="Arial" w:eastAsia="Arial" w:hAnsi="Arial"/>
                <w:sz w:val="16"/>
                <w:szCs w:val="16"/>
                <w:color w:val="auto"/>
              </w:rPr>
              <w:t>Canada</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$ 43,277</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$ 39,553</w:t>
            </w:r>
          </w:p>
        </w:tc>
        <w:tc>
          <w:tcPr>
            <w:tcW w:w="840" w:type="dxa"/>
            <w:vAlign w:val="bottom"/>
          </w:tcPr>
          <w:p>
            <w:pPr>
              <w:jc w:val="right"/>
              <w:spacing w:after="0"/>
              <w:rPr>
                <w:sz w:val="20"/>
                <w:szCs w:val="20"/>
                <w:color w:val="auto"/>
              </w:rPr>
            </w:pPr>
            <w:r>
              <w:rPr>
                <w:rFonts w:ascii="Arial" w:cs="Arial" w:eastAsia="Arial" w:hAnsi="Arial"/>
                <w:sz w:val="16"/>
                <w:szCs w:val="16"/>
                <w:color w:val="auto"/>
              </w:rPr>
              <w:t>$ 110,743</w:t>
            </w:r>
          </w:p>
        </w:tc>
        <w:tc>
          <w:tcPr>
            <w:tcW w:w="80" w:type="dxa"/>
            <w:vAlign w:val="bottom"/>
          </w:tcPr>
          <w:p>
            <w:pPr>
              <w:spacing w:after="0"/>
              <w:rPr>
                <w:sz w:val="23"/>
                <w:szCs w:val="23"/>
                <w:color w:val="auto"/>
              </w:rPr>
            </w:pPr>
          </w:p>
        </w:tc>
        <w:tc>
          <w:tcPr>
            <w:tcW w:w="1280" w:type="dxa"/>
            <w:vAlign w:val="bottom"/>
            <w:gridSpan w:val="3"/>
          </w:tcPr>
          <w:p>
            <w:pPr>
              <w:jc w:val="right"/>
              <w:ind w:right="440"/>
              <w:spacing w:after="0"/>
              <w:rPr>
                <w:sz w:val="20"/>
                <w:szCs w:val="20"/>
                <w:color w:val="auto"/>
              </w:rPr>
            </w:pPr>
            <w:r>
              <w:rPr>
                <w:rFonts w:ascii="Arial" w:cs="Arial" w:eastAsia="Arial" w:hAnsi="Arial"/>
                <w:sz w:val="16"/>
                <w:szCs w:val="16"/>
                <w:color w:val="auto"/>
              </w:rPr>
              <w:t>$ 145,827</w:t>
            </w: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60" w:type="dxa"/>
            <w:vAlign w:val="bottom"/>
          </w:tcPr>
          <w:p>
            <w:pPr>
              <w:ind w:left="220"/>
              <w:spacing w:after="0"/>
              <w:rPr>
                <w:sz w:val="20"/>
                <w:szCs w:val="20"/>
                <w:color w:val="auto"/>
              </w:rPr>
            </w:pPr>
            <w:r>
              <w:rPr>
                <w:rFonts w:ascii="Arial" w:cs="Arial" w:eastAsia="Arial" w:hAnsi="Arial"/>
                <w:sz w:val="16"/>
                <w:szCs w:val="16"/>
                <w:color w:val="auto"/>
              </w:rPr>
              <w:t>Australia</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10,520</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17,591</w:t>
            </w:r>
          </w:p>
        </w:tc>
        <w:tc>
          <w:tcPr>
            <w:tcW w:w="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26,158</w:t>
            </w:r>
          </w:p>
        </w:tc>
        <w:tc>
          <w:tcPr>
            <w:tcW w:w="80" w:type="dxa"/>
            <w:vAlign w:val="bottom"/>
          </w:tcPr>
          <w:p>
            <w:pPr>
              <w:spacing w:after="0"/>
              <w:rPr>
                <w:sz w:val="23"/>
                <w:szCs w:val="23"/>
                <w:color w:val="auto"/>
              </w:rPr>
            </w:pPr>
          </w:p>
        </w:tc>
        <w:tc>
          <w:tcPr>
            <w:tcW w:w="1280" w:type="dxa"/>
            <w:vAlign w:val="bottom"/>
            <w:gridSpan w:val="3"/>
          </w:tcPr>
          <w:p>
            <w:pPr>
              <w:jc w:val="right"/>
              <w:ind w:right="440"/>
              <w:spacing w:after="0"/>
              <w:rPr>
                <w:sz w:val="20"/>
                <w:szCs w:val="20"/>
                <w:color w:val="auto"/>
              </w:rPr>
            </w:pPr>
            <w:r>
              <w:rPr>
                <w:rFonts w:ascii="Arial" w:cs="Arial" w:eastAsia="Arial" w:hAnsi="Arial"/>
                <w:sz w:val="16"/>
                <w:szCs w:val="16"/>
                <w:color w:val="auto"/>
              </w:rPr>
              <w:t>54,684</w:t>
            </w: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60" w:type="dxa"/>
            <w:vAlign w:val="bottom"/>
          </w:tcPr>
          <w:p>
            <w:pPr>
              <w:ind w:left="220"/>
              <w:spacing w:after="0"/>
              <w:rPr>
                <w:sz w:val="20"/>
                <w:szCs w:val="20"/>
                <w:color w:val="auto"/>
              </w:rPr>
            </w:pPr>
            <w:r>
              <w:rPr>
                <w:rFonts w:ascii="Arial" w:cs="Arial" w:eastAsia="Arial" w:hAnsi="Arial"/>
                <w:sz w:val="16"/>
                <w:szCs w:val="16"/>
                <w:color w:val="auto"/>
              </w:rPr>
              <w:t>United States</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(1,236)</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(1,596)</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(6,664)</w:t>
            </w:r>
          </w:p>
        </w:tc>
        <w:tc>
          <w:tcPr>
            <w:tcW w:w="1280" w:type="dxa"/>
            <w:vAlign w:val="bottom"/>
            <w:gridSpan w:val="3"/>
          </w:tcPr>
          <w:p>
            <w:pPr>
              <w:jc w:val="right"/>
              <w:ind w:right="440"/>
              <w:spacing w:after="0"/>
              <w:rPr>
                <w:sz w:val="20"/>
                <w:szCs w:val="20"/>
                <w:color w:val="auto"/>
              </w:rPr>
            </w:pPr>
            <w:r>
              <w:rPr>
                <w:rFonts w:ascii="Arial" w:cs="Arial" w:eastAsia="Arial" w:hAnsi="Arial"/>
                <w:sz w:val="16"/>
                <w:szCs w:val="16"/>
                <w:color w:val="auto"/>
              </w:rPr>
              <w:t>1,407</w:t>
            </w: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460" w:type="dxa"/>
            <w:vAlign w:val="bottom"/>
          </w:tcPr>
          <w:p>
            <w:pPr>
              <w:ind w:left="220"/>
              <w:spacing w:after="0"/>
              <w:rPr>
                <w:sz w:val="20"/>
                <w:szCs w:val="20"/>
                <w:color w:val="auto"/>
              </w:rPr>
            </w:pPr>
            <w:r>
              <w:rPr>
                <w:rFonts w:ascii="Arial" w:cs="Arial" w:eastAsia="Arial" w:hAnsi="Arial"/>
                <w:sz w:val="16"/>
                <w:szCs w:val="16"/>
                <w:color w:val="auto"/>
              </w:rPr>
              <w:t>Corporate and eliminations</w:t>
            </w:r>
          </w:p>
        </w:tc>
        <w:tc>
          <w:tcPr>
            <w:tcW w:w="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(6,564)</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(2,164)</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(15,154)</w:t>
            </w:r>
          </w:p>
        </w:tc>
        <w:tc>
          <w:tcPr>
            <w:tcW w:w="1280" w:type="dxa"/>
            <w:vAlign w:val="bottom"/>
            <w:gridSpan w:val="3"/>
          </w:tcPr>
          <w:p>
            <w:pPr>
              <w:jc w:val="right"/>
              <w:ind w:right="440"/>
              <w:spacing w:after="0"/>
              <w:rPr>
                <w:sz w:val="20"/>
                <w:szCs w:val="20"/>
                <w:color w:val="auto"/>
              </w:rPr>
            </w:pPr>
            <w:r>
              <w:rPr>
                <w:rFonts w:ascii="Arial" w:cs="Arial" w:eastAsia="Arial" w:hAnsi="Arial"/>
                <w:sz w:val="16"/>
                <w:szCs w:val="16"/>
                <w:color w:val="auto"/>
              </w:rPr>
              <w:t>(6,141)</w:t>
            </w: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460" w:type="dxa"/>
            <w:vAlign w:val="bottom"/>
          </w:tcPr>
          <w:p>
            <w:pPr>
              <w:ind w:left="340"/>
              <w:spacing w:after="0"/>
              <w:rPr>
                <w:sz w:val="20"/>
                <w:szCs w:val="20"/>
                <w:color w:val="auto"/>
              </w:rPr>
            </w:pPr>
            <w:r>
              <w:rPr>
                <w:rFonts w:ascii="Arial" w:cs="Arial" w:eastAsia="Arial" w:hAnsi="Arial"/>
                <w:sz w:val="16"/>
                <w:szCs w:val="16"/>
                <w:color w:val="auto"/>
              </w:rPr>
              <w:t>Total operating income (loss)</w:t>
            </w:r>
          </w:p>
        </w:tc>
        <w:tc>
          <w:tcPr>
            <w:tcW w:w="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$ 45,997</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$ 53,384</w:t>
            </w:r>
          </w:p>
        </w:tc>
        <w:tc>
          <w:tcPr>
            <w:tcW w:w="840" w:type="dxa"/>
            <w:vAlign w:val="bottom"/>
          </w:tcPr>
          <w:p>
            <w:pPr>
              <w:jc w:val="right"/>
              <w:spacing w:after="0"/>
              <w:rPr>
                <w:sz w:val="20"/>
                <w:szCs w:val="20"/>
                <w:color w:val="auto"/>
              </w:rPr>
            </w:pPr>
            <w:r>
              <w:rPr>
                <w:rFonts w:ascii="Arial" w:cs="Arial" w:eastAsia="Arial" w:hAnsi="Arial"/>
                <w:sz w:val="16"/>
                <w:szCs w:val="16"/>
                <w:color w:val="auto"/>
              </w:rPr>
              <w:t>$ 115,083</w:t>
            </w:r>
          </w:p>
        </w:tc>
        <w:tc>
          <w:tcPr>
            <w:tcW w:w="80" w:type="dxa"/>
            <w:vAlign w:val="bottom"/>
          </w:tcPr>
          <w:p>
            <w:pPr>
              <w:spacing w:after="0"/>
              <w:rPr>
                <w:sz w:val="22"/>
                <w:szCs w:val="22"/>
                <w:color w:val="auto"/>
              </w:rPr>
            </w:pPr>
          </w:p>
        </w:tc>
        <w:tc>
          <w:tcPr>
            <w:tcW w:w="1280" w:type="dxa"/>
            <w:vAlign w:val="bottom"/>
            <w:gridSpan w:val="3"/>
          </w:tcPr>
          <w:p>
            <w:pPr>
              <w:jc w:val="right"/>
              <w:ind w:right="440"/>
              <w:spacing w:after="0"/>
              <w:rPr>
                <w:sz w:val="20"/>
                <w:szCs w:val="20"/>
                <w:color w:val="auto"/>
              </w:rPr>
            </w:pPr>
            <w:r>
              <w:rPr>
                <w:rFonts w:ascii="Arial" w:cs="Arial" w:eastAsia="Arial" w:hAnsi="Arial"/>
                <w:sz w:val="16"/>
                <w:szCs w:val="16"/>
                <w:color w:val="auto"/>
              </w:rPr>
              <w:t>$ 195,777</w:t>
            </w: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firstLine="9"/>
        <w:spacing w:after="0" w:line="248" w:lineRule="auto"/>
        <w:tabs>
          <w:tab w:leader="none" w:pos="243"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term EBITDA is defined as net income plus interest, taxes, depreciation and amortization. The term Adjusted EBITDA is defined as EBITDA adjusted to exclude impairment charges and certain other costs such as those incurred associated with the Spin-Off. EBITDA and Adjusted EBITDA are not measures of financial performance under generally accepted accounting principles and should not be considered in isolation from or as a substitute for net income or cash flow measures prepared in accordance with generally accepted accounting principles or as a measure of profitability or liquidity. Additionally, EBITDA and Adjusted EBITDA may not be comparable to other similarly titled measures of other companies. The Company has included EBITDA and Adjusted EBITDA as supplemental disclosures because its management believes that EBITDA and Adjusted EBITDA provides useful information regarding our ability to service debt and to fund capital expenditures and provides investors a helpful measure for comparing its operating performance with the performance of other companies that have different financing and capital structures or tax rates. The Company uses EBITDA and Adjusted EBITDA to compare and to monitor the performance of its business segments to other comparable public companies and as a benchmark for the award of incentive compensation under its annual incentive compensation plan.</w:t>
      </w:r>
    </w:p>
    <w:p>
      <w:pPr>
        <w:spacing w:after="0" w:line="341"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The following table sets forth a reconciliation of EBITDA and Adjusted EBITDA to net income, which is the most directly comparable measure of financial performance calculated under generally accepted accounting principles (in thousands) (unaudited):</w:t>
      </w:r>
    </w:p>
    <w:p>
      <w:pPr>
        <w:sectPr>
          <w:pgSz w:w="11900" w:h="16906" w:orient="portrait"/>
          <w:cols w:equalWidth="0" w:num="1">
            <w:col w:w="11240"/>
          </w:cols>
          <w:pgMar w:left="320" w:top="141" w:right="339" w:bottom="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Net income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Income tax provision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Depreciation and amortization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Interest income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w:t>
      </w:r>
    </w:p>
    <w:p>
      <w:pPr>
        <w:spacing w:after="0" w:line="10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EBITDA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Adjustments to EBITDA</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Impairment of intangible asset (a)</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Impairment of fixed assets (b)</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Severance costs (c)</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Transition costs (d)</w:t>
      </w:r>
    </w:p>
    <w:p>
      <w:pPr>
        <w:spacing w:after="0" w:line="10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Reversal of earnout liability (e)</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Adjusted EBITDA</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342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rPr>
              <w:t>THREE MONTHS ENDED</w:t>
            </w:r>
          </w:p>
        </w:tc>
        <w:tc>
          <w:tcPr>
            <w:tcW w:w="3100" w:type="dxa"/>
            <w:vAlign w:val="bottom"/>
            <w:gridSpan w:val="3"/>
          </w:tcPr>
          <w:p>
            <w:pPr>
              <w:jc w:val="right"/>
              <w:ind w:right="599"/>
              <w:spacing w:after="0"/>
              <w:rPr>
                <w:sz w:val="20"/>
                <w:szCs w:val="20"/>
                <w:color w:val="auto"/>
              </w:rPr>
            </w:pPr>
            <w:r>
              <w:rPr>
                <w:rFonts w:ascii="Arial" w:cs="Arial" w:eastAsia="Arial" w:hAnsi="Arial"/>
                <w:sz w:val="16"/>
                <w:szCs w:val="16"/>
                <w:b w:val="1"/>
                <w:bCs w:val="1"/>
                <w:color w:val="auto"/>
              </w:rPr>
              <w:t>NINE MONTHS ENDED</w:t>
            </w:r>
          </w:p>
        </w:tc>
      </w:tr>
      <w:tr>
        <w:trPr>
          <w:trHeight w:val="215"/>
        </w:trPr>
        <w:tc>
          <w:tcPr>
            <w:tcW w:w="2320" w:type="dxa"/>
            <w:vAlign w:val="bottom"/>
            <w:gridSpan w:val="3"/>
          </w:tcPr>
          <w:p>
            <w:pPr>
              <w:jc w:val="center"/>
              <w:ind w:left="919"/>
              <w:spacing w:after="0"/>
              <w:rPr>
                <w:sz w:val="20"/>
                <w:szCs w:val="20"/>
                <w:color w:val="auto"/>
              </w:rPr>
            </w:pPr>
            <w:r>
              <w:rPr>
                <w:rFonts w:ascii="Arial" w:cs="Arial" w:eastAsia="Arial" w:hAnsi="Arial"/>
                <w:sz w:val="16"/>
                <w:szCs w:val="16"/>
                <w:b w:val="1"/>
                <w:bCs w:val="1"/>
                <w:color w:val="auto"/>
              </w:rPr>
              <w:t>SEPTEMBER 30,</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00" w:type="dxa"/>
            <w:vAlign w:val="bottom"/>
            <w:gridSpan w:val="3"/>
          </w:tcPr>
          <w:p>
            <w:pPr>
              <w:jc w:val="right"/>
              <w:ind w:right="839"/>
              <w:spacing w:after="0"/>
              <w:rPr>
                <w:sz w:val="20"/>
                <w:szCs w:val="20"/>
                <w:color w:val="auto"/>
              </w:rPr>
            </w:pPr>
            <w:r>
              <w:rPr>
                <w:rFonts w:ascii="Arial" w:cs="Arial" w:eastAsia="Arial" w:hAnsi="Arial"/>
                <w:sz w:val="16"/>
                <w:szCs w:val="16"/>
                <w:b w:val="1"/>
                <w:bCs w:val="1"/>
                <w:color w:val="auto"/>
              </w:rPr>
              <w:t>SEPTEMBER 30,</w:t>
            </w:r>
          </w:p>
        </w:tc>
      </w:tr>
      <w:tr>
        <w:trPr>
          <w:trHeight w:val="263"/>
        </w:trPr>
        <w:tc>
          <w:tcPr>
            <w:tcW w:w="16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2014</w:t>
            </w:r>
          </w:p>
        </w:tc>
        <w:tc>
          <w:tcPr>
            <w:tcW w:w="8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2013</w:t>
            </w:r>
          </w:p>
        </w:tc>
        <w:tc>
          <w:tcPr>
            <w:tcW w:w="80" w:type="dxa"/>
            <w:vAlign w:val="bottom"/>
          </w:tcPr>
          <w:p>
            <w:pPr>
              <w:spacing w:after="0"/>
              <w:rPr>
                <w:sz w:val="22"/>
                <w:szCs w:val="22"/>
                <w:color w:val="auto"/>
              </w:rPr>
            </w:pPr>
          </w:p>
        </w:tc>
        <w:tc>
          <w:tcPr>
            <w:tcW w:w="15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2014</w:t>
            </w:r>
          </w:p>
        </w:tc>
        <w:tc>
          <w:tcPr>
            <w:tcW w:w="80" w:type="dxa"/>
            <w:vAlign w:val="bottom"/>
          </w:tcPr>
          <w:p>
            <w:pPr>
              <w:spacing w:after="0"/>
              <w:rPr>
                <w:sz w:val="22"/>
                <w:szCs w:val="22"/>
                <w:color w:val="auto"/>
              </w:rPr>
            </w:pPr>
          </w:p>
        </w:tc>
        <w:tc>
          <w:tcPr>
            <w:tcW w:w="15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2013</w:t>
            </w:r>
          </w:p>
        </w:tc>
      </w:tr>
      <w:tr>
        <w:trPr>
          <w:trHeight w:val="541"/>
        </w:trPr>
        <w:tc>
          <w:tcPr>
            <w:tcW w:w="1620" w:type="dxa"/>
            <w:vAlign w:val="bottom"/>
          </w:tcPr>
          <w:p>
            <w:pPr>
              <w:jc w:val="right"/>
              <w:spacing w:after="0"/>
              <w:rPr>
                <w:sz w:val="20"/>
                <w:szCs w:val="20"/>
                <w:color w:val="auto"/>
              </w:rPr>
            </w:pPr>
            <w:r>
              <w:rPr>
                <w:rFonts w:ascii="Arial" w:cs="Arial" w:eastAsia="Arial" w:hAnsi="Arial"/>
                <w:sz w:val="16"/>
                <w:szCs w:val="16"/>
                <w:color w:val="auto"/>
              </w:rPr>
              <w:t>$ 32,403</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$ 39,641</w:t>
            </w:r>
          </w:p>
        </w:tc>
        <w:tc>
          <w:tcPr>
            <w:tcW w:w="1580" w:type="dxa"/>
            <w:vAlign w:val="bottom"/>
            <w:gridSpan w:val="2"/>
          </w:tcPr>
          <w:p>
            <w:pPr>
              <w:jc w:val="right"/>
              <w:ind w:right="80"/>
              <w:spacing w:after="0"/>
              <w:rPr>
                <w:sz w:val="20"/>
                <w:szCs w:val="20"/>
                <w:color w:val="auto"/>
              </w:rPr>
            </w:pPr>
            <w:r>
              <w:rPr>
                <w:rFonts w:ascii="Arial" w:cs="Arial" w:eastAsia="Arial" w:hAnsi="Arial"/>
                <w:sz w:val="16"/>
                <w:szCs w:val="16"/>
                <w:color w:val="auto"/>
              </w:rPr>
              <w:t>$ 82,591</w:t>
            </w:r>
          </w:p>
        </w:tc>
        <w:tc>
          <w:tcPr>
            <w:tcW w:w="1520" w:type="dxa"/>
            <w:vAlign w:val="bottom"/>
          </w:tcPr>
          <w:p>
            <w:pPr>
              <w:jc w:val="right"/>
              <w:spacing w:after="0"/>
              <w:rPr>
                <w:sz w:val="20"/>
                <w:szCs w:val="20"/>
                <w:color w:val="auto"/>
              </w:rPr>
            </w:pPr>
            <w:r>
              <w:rPr>
                <w:rFonts w:ascii="Arial" w:cs="Arial" w:eastAsia="Arial" w:hAnsi="Arial"/>
                <w:sz w:val="16"/>
                <w:szCs w:val="16"/>
                <w:color w:val="auto"/>
              </w:rPr>
              <w:t>$ 136,423</w:t>
            </w:r>
          </w:p>
        </w:tc>
      </w:tr>
      <w:tr>
        <w:trPr>
          <w:trHeight w:val="270"/>
        </w:trPr>
        <w:tc>
          <w:tcPr>
            <w:tcW w:w="1620" w:type="dxa"/>
            <w:vAlign w:val="bottom"/>
          </w:tcPr>
          <w:p>
            <w:pPr>
              <w:jc w:val="right"/>
              <w:spacing w:after="0"/>
              <w:rPr>
                <w:sz w:val="20"/>
                <w:szCs w:val="20"/>
                <w:color w:val="auto"/>
              </w:rPr>
            </w:pPr>
            <w:r>
              <w:rPr>
                <w:rFonts w:ascii="Arial" w:cs="Arial" w:eastAsia="Arial" w:hAnsi="Arial"/>
                <w:sz w:val="16"/>
                <w:szCs w:val="16"/>
                <w:color w:val="auto"/>
              </w:rPr>
              <w:t>9,011</w:t>
            </w: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11,418</w:t>
            </w:r>
          </w:p>
        </w:tc>
        <w:tc>
          <w:tcPr>
            <w:tcW w:w="1500" w:type="dxa"/>
            <w:vAlign w:val="bottom"/>
          </w:tcPr>
          <w:p>
            <w:pPr>
              <w:jc w:val="right"/>
              <w:spacing w:after="0"/>
              <w:rPr>
                <w:sz w:val="20"/>
                <w:szCs w:val="20"/>
                <w:color w:val="auto"/>
              </w:rPr>
            </w:pPr>
            <w:r>
              <w:rPr>
                <w:rFonts w:ascii="Arial" w:cs="Arial" w:eastAsia="Arial" w:hAnsi="Arial"/>
                <w:sz w:val="16"/>
                <w:szCs w:val="16"/>
                <w:color w:val="auto"/>
              </w:rPr>
              <w:t>16,411</w:t>
            </w:r>
          </w:p>
        </w:tc>
        <w:tc>
          <w:tcPr>
            <w:tcW w:w="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43,350</w:t>
            </w:r>
          </w:p>
        </w:tc>
      </w:tr>
      <w:tr>
        <w:trPr>
          <w:trHeight w:val="270"/>
        </w:trPr>
        <w:tc>
          <w:tcPr>
            <w:tcW w:w="1620" w:type="dxa"/>
            <w:vAlign w:val="bottom"/>
          </w:tcPr>
          <w:p>
            <w:pPr>
              <w:jc w:val="right"/>
              <w:spacing w:after="0"/>
              <w:rPr>
                <w:sz w:val="20"/>
                <w:szCs w:val="20"/>
                <w:color w:val="auto"/>
              </w:rPr>
            </w:pPr>
            <w:r>
              <w:rPr>
                <w:rFonts w:ascii="Arial" w:cs="Arial" w:eastAsia="Arial" w:hAnsi="Arial"/>
                <w:sz w:val="16"/>
                <w:szCs w:val="16"/>
                <w:color w:val="auto"/>
              </w:rPr>
              <w:t>45,758</w:t>
            </w: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42,011</w:t>
            </w:r>
          </w:p>
        </w:tc>
        <w:tc>
          <w:tcPr>
            <w:tcW w:w="1500" w:type="dxa"/>
            <w:vAlign w:val="bottom"/>
          </w:tcPr>
          <w:p>
            <w:pPr>
              <w:jc w:val="right"/>
              <w:spacing w:after="0"/>
              <w:rPr>
                <w:sz w:val="20"/>
                <w:szCs w:val="20"/>
                <w:color w:val="auto"/>
              </w:rPr>
            </w:pPr>
            <w:r>
              <w:rPr>
                <w:rFonts w:ascii="Arial" w:cs="Arial" w:eastAsia="Arial" w:hAnsi="Arial"/>
                <w:sz w:val="16"/>
                <w:szCs w:val="16"/>
                <w:color w:val="auto"/>
              </w:rPr>
              <w:t>127,770</w:t>
            </w:r>
          </w:p>
        </w:tc>
        <w:tc>
          <w:tcPr>
            <w:tcW w:w="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124,510</w:t>
            </w:r>
          </w:p>
        </w:tc>
      </w:tr>
      <w:tr>
        <w:trPr>
          <w:trHeight w:val="270"/>
        </w:trPr>
        <w:tc>
          <w:tcPr>
            <w:tcW w:w="1620" w:type="dxa"/>
            <w:vAlign w:val="bottom"/>
          </w:tcPr>
          <w:p>
            <w:pPr>
              <w:jc w:val="right"/>
              <w:spacing w:after="0"/>
              <w:rPr>
                <w:sz w:val="20"/>
                <w:szCs w:val="20"/>
                <w:color w:val="auto"/>
              </w:rPr>
            </w:pPr>
            <w:r>
              <w:rPr>
                <w:rFonts w:ascii="Arial" w:cs="Arial" w:eastAsia="Arial" w:hAnsi="Arial"/>
                <w:sz w:val="16"/>
                <w:szCs w:val="16"/>
                <w:color w:val="auto"/>
              </w:rPr>
              <w:t>(1,048)</w:t>
            </w: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(347)</w:t>
            </w:r>
          </w:p>
        </w:tc>
        <w:tc>
          <w:tcPr>
            <w:tcW w:w="80" w:type="dxa"/>
            <w:vAlign w:val="bottom"/>
          </w:tcPr>
          <w:p>
            <w:pPr>
              <w:spacing w:after="0"/>
              <w:rPr>
                <w:sz w:val="23"/>
                <w:szCs w:val="23"/>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6"/>
                <w:szCs w:val="16"/>
                <w:color w:val="auto"/>
              </w:rPr>
              <w:t>(2,841)</w:t>
            </w:r>
          </w:p>
        </w:tc>
        <w:tc>
          <w:tcPr>
            <w:tcW w:w="1520" w:type="dxa"/>
            <w:vAlign w:val="bottom"/>
          </w:tcPr>
          <w:p>
            <w:pPr>
              <w:jc w:val="right"/>
              <w:spacing w:after="0"/>
              <w:rPr>
                <w:sz w:val="20"/>
                <w:szCs w:val="20"/>
                <w:color w:val="auto"/>
              </w:rPr>
            </w:pPr>
            <w:r>
              <w:rPr>
                <w:rFonts w:ascii="Arial" w:cs="Arial" w:eastAsia="Arial" w:hAnsi="Arial"/>
                <w:sz w:val="16"/>
                <w:szCs w:val="16"/>
                <w:color w:val="auto"/>
              </w:rPr>
              <w:t>(1,248)</w:t>
            </w:r>
          </w:p>
        </w:tc>
      </w:tr>
      <w:tr>
        <w:trPr>
          <w:trHeight w:val="263"/>
        </w:trPr>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5,335</w:t>
            </w:r>
          </w:p>
        </w:tc>
        <w:tc>
          <w:tcPr>
            <w:tcW w:w="8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5,555</w:t>
            </w:r>
          </w:p>
        </w:tc>
        <w:tc>
          <w:tcPr>
            <w:tcW w:w="80" w:type="dxa"/>
            <w:vAlign w:val="bottom"/>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18,880</w:t>
            </w:r>
          </w:p>
        </w:tc>
        <w:tc>
          <w:tcPr>
            <w:tcW w:w="80" w:type="dxa"/>
            <w:vAlign w:val="bottom"/>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20,026</w:t>
            </w:r>
          </w:p>
        </w:tc>
      </w:tr>
      <w:tr>
        <w:trPr>
          <w:trHeight w:val="264"/>
        </w:trPr>
        <w:tc>
          <w:tcPr>
            <w:tcW w:w="1620" w:type="dxa"/>
            <w:vAlign w:val="bottom"/>
          </w:tcPr>
          <w:p>
            <w:pPr>
              <w:jc w:val="right"/>
              <w:spacing w:after="0"/>
              <w:rPr>
                <w:sz w:val="20"/>
                <w:szCs w:val="20"/>
                <w:color w:val="auto"/>
              </w:rPr>
            </w:pPr>
            <w:r>
              <w:rPr>
                <w:rFonts w:ascii="Arial" w:cs="Arial" w:eastAsia="Arial" w:hAnsi="Arial"/>
                <w:sz w:val="16"/>
                <w:szCs w:val="16"/>
                <w:color w:val="auto"/>
              </w:rPr>
              <w:t>$ 91,459</w:t>
            </w: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$ 98,278</w:t>
            </w:r>
          </w:p>
        </w:tc>
        <w:tc>
          <w:tcPr>
            <w:tcW w:w="1500" w:type="dxa"/>
            <w:vAlign w:val="bottom"/>
          </w:tcPr>
          <w:p>
            <w:pPr>
              <w:jc w:val="right"/>
              <w:spacing w:after="0"/>
              <w:rPr>
                <w:sz w:val="20"/>
                <w:szCs w:val="20"/>
                <w:color w:val="auto"/>
              </w:rPr>
            </w:pPr>
            <w:r>
              <w:rPr>
                <w:rFonts w:ascii="Arial" w:cs="Arial" w:eastAsia="Arial" w:hAnsi="Arial"/>
                <w:sz w:val="16"/>
                <w:szCs w:val="16"/>
                <w:color w:val="auto"/>
              </w:rPr>
              <w:t>$ 242,811</w:t>
            </w:r>
          </w:p>
        </w:tc>
        <w:tc>
          <w:tcPr>
            <w:tcW w:w="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$ 323,061</w:t>
            </w:r>
          </w:p>
        </w:tc>
      </w:tr>
      <w:tr>
        <w:trPr>
          <w:trHeight w:val="541"/>
        </w:trPr>
        <w:tc>
          <w:tcPr>
            <w:tcW w:w="16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8,989</w:t>
            </w:r>
          </w:p>
        </w:tc>
        <w:tc>
          <w:tcPr>
            <w:tcW w:w="80" w:type="dxa"/>
            <w:vAlign w:val="bottom"/>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r>
      <w:tr>
        <w:trPr>
          <w:trHeight w:val="270"/>
        </w:trPr>
        <w:tc>
          <w:tcPr>
            <w:tcW w:w="1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2,621</w:t>
            </w:r>
          </w:p>
        </w:tc>
        <w:tc>
          <w:tcPr>
            <w:tcW w:w="8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70"/>
        </w:trPr>
        <w:tc>
          <w:tcPr>
            <w:tcW w:w="1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4,117</w:t>
            </w:r>
          </w:p>
        </w:tc>
        <w:tc>
          <w:tcPr>
            <w:tcW w:w="8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70"/>
        </w:trPr>
        <w:tc>
          <w:tcPr>
            <w:tcW w:w="1620" w:type="dxa"/>
            <w:vAlign w:val="bottom"/>
          </w:tcPr>
          <w:p>
            <w:pPr>
              <w:jc w:val="right"/>
              <w:spacing w:after="0"/>
              <w:rPr>
                <w:sz w:val="20"/>
                <w:szCs w:val="20"/>
                <w:color w:val="auto"/>
              </w:rPr>
            </w:pPr>
            <w:r>
              <w:rPr>
                <w:rFonts w:ascii="Arial" w:cs="Arial" w:eastAsia="Arial" w:hAnsi="Arial"/>
                <w:sz w:val="16"/>
                <w:szCs w:val="16"/>
                <w:color w:val="auto"/>
              </w:rPr>
              <w:t>1,028</w:t>
            </w: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3,497</w:t>
            </w:r>
          </w:p>
        </w:tc>
        <w:tc>
          <w:tcPr>
            <w:tcW w:w="8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63"/>
        </w:trPr>
        <w:tc>
          <w:tcPr>
            <w:tcW w:w="16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(4,005)</w:t>
            </w:r>
          </w:p>
        </w:tc>
      </w:tr>
      <w:tr>
        <w:trPr>
          <w:trHeight w:val="264"/>
        </w:trPr>
        <w:tc>
          <w:tcPr>
            <w:tcW w:w="1620" w:type="dxa"/>
            <w:vAlign w:val="bottom"/>
          </w:tcPr>
          <w:p>
            <w:pPr>
              <w:jc w:val="right"/>
              <w:spacing w:after="0"/>
              <w:rPr>
                <w:sz w:val="20"/>
                <w:szCs w:val="20"/>
                <w:color w:val="auto"/>
              </w:rPr>
            </w:pPr>
            <w:r>
              <w:rPr>
                <w:rFonts w:ascii="Arial" w:cs="Arial" w:eastAsia="Arial" w:hAnsi="Arial"/>
                <w:sz w:val="16"/>
                <w:szCs w:val="16"/>
                <w:color w:val="auto"/>
              </w:rPr>
              <w:t>$ 92,487</w:t>
            </w: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$ 98,278</w:t>
            </w:r>
          </w:p>
        </w:tc>
        <w:tc>
          <w:tcPr>
            <w:tcW w:w="1500" w:type="dxa"/>
            <w:vAlign w:val="bottom"/>
          </w:tcPr>
          <w:p>
            <w:pPr>
              <w:jc w:val="right"/>
              <w:spacing w:after="0"/>
              <w:rPr>
                <w:sz w:val="20"/>
                <w:szCs w:val="20"/>
                <w:color w:val="auto"/>
              </w:rPr>
            </w:pPr>
            <w:r>
              <w:rPr>
                <w:rFonts w:ascii="Arial" w:cs="Arial" w:eastAsia="Arial" w:hAnsi="Arial"/>
                <w:sz w:val="16"/>
                <w:szCs w:val="16"/>
                <w:color w:val="auto"/>
              </w:rPr>
              <w:t>$ 262,035</w:t>
            </w:r>
          </w:p>
        </w:tc>
        <w:tc>
          <w:tcPr>
            <w:tcW w:w="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$ 319,056</w:t>
            </w:r>
          </w:p>
        </w:tc>
      </w:tr>
      <w:tr>
        <w:trPr>
          <w:trHeight w:val="20"/>
        </w:trPr>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020" w:space="720"/>
            <w:col w:w="6520"/>
          </w:cols>
          <w:pgMar w:left="320" w:top="446" w:right="319" w:bottom="0" w:gutter="0" w:footer="0" w:header="0"/>
        </w:sectPr>
      </w:pPr>
    </w:p>
    <w:p>
      <w:pPr>
        <w:spacing w:after="0" w:line="153" w:lineRule="exact"/>
        <w:rPr>
          <w:sz w:val="20"/>
          <w:szCs w:val="20"/>
          <w:color w:val="auto"/>
        </w:rPr>
      </w:pPr>
    </w:p>
    <w:p>
      <w:pPr>
        <w:ind w:right="100" w:firstLine="9"/>
        <w:spacing w:after="0" w:line="251" w:lineRule="auto"/>
        <w:tabs>
          <w:tab w:leader="none" w:pos="243" w:val="left"/>
        </w:tabs>
        <w:numPr>
          <w:ilvl w:val="0"/>
          <w:numId w:val="4"/>
        </w:numPr>
        <w:rPr>
          <w:rFonts w:ascii="Arial" w:cs="Arial" w:eastAsia="Arial" w:hAnsi="Arial"/>
          <w:sz w:val="16"/>
          <w:szCs w:val="16"/>
          <w:color w:val="auto"/>
        </w:rPr>
      </w:pPr>
      <w:r>
        <w:rPr>
          <w:rFonts w:ascii="Arial" w:cs="Arial" w:eastAsia="Arial" w:hAnsi="Arial"/>
          <w:sz w:val="16"/>
          <w:szCs w:val="16"/>
          <w:color w:val="auto"/>
        </w:rPr>
        <w:t>Relates to the impairment of an intangible asset in Australia. Due to the Spin-Off, and the resulting rebranding of the Company's Australian operations from The Mac to Civeo Australia, it was determined that the fair value of an intangible asset associated with The Mac brand was zero. The $9.0 million impairment ($6.3 million after-tax, or $0.06 per diluted share), which is related to our Australia segment, is included in Impairment expense on the unaudited statements of income.</w:t>
      </w:r>
    </w:p>
    <w:p>
      <w:pPr>
        <w:spacing w:after="0" w:line="337" w:lineRule="exact"/>
        <w:rPr>
          <w:rFonts w:ascii="Arial" w:cs="Arial" w:eastAsia="Arial" w:hAnsi="Arial"/>
          <w:sz w:val="16"/>
          <w:szCs w:val="16"/>
          <w:color w:val="auto"/>
        </w:rPr>
      </w:pPr>
    </w:p>
    <w:p>
      <w:pPr>
        <w:ind w:right="60" w:firstLine="9"/>
        <w:spacing w:after="0" w:line="253" w:lineRule="auto"/>
        <w:tabs>
          <w:tab w:leader="none" w:pos="243" w:val="left"/>
        </w:tabs>
        <w:numPr>
          <w:ilvl w:val="0"/>
          <w:numId w:val="4"/>
        </w:numPr>
        <w:rPr>
          <w:rFonts w:ascii="Arial" w:cs="Arial" w:eastAsia="Arial" w:hAnsi="Arial"/>
          <w:sz w:val="16"/>
          <w:szCs w:val="16"/>
          <w:color w:val="auto"/>
        </w:rPr>
      </w:pPr>
      <w:r>
        <w:rPr>
          <w:rFonts w:ascii="Arial" w:cs="Arial" w:eastAsia="Arial" w:hAnsi="Arial"/>
          <w:sz w:val="16"/>
          <w:szCs w:val="16"/>
          <w:color w:val="auto"/>
        </w:rPr>
        <w:t>Relates to the impairment of certain fixed assets which are not in our custody, and for which return has been determined to be uncertain. The $2.6 million impairment ($2.2 million after-tax, or $0.02 per diluted share), which is related to our U.S. segment, is included in Impairment expense on the unaudited statements of income.</w:t>
      </w:r>
    </w:p>
    <w:p>
      <w:pPr>
        <w:spacing w:after="0" w:line="336" w:lineRule="exact"/>
        <w:rPr>
          <w:rFonts w:ascii="Arial" w:cs="Arial" w:eastAsia="Arial" w:hAnsi="Arial"/>
          <w:sz w:val="16"/>
          <w:szCs w:val="16"/>
          <w:color w:val="auto"/>
        </w:rPr>
      </w:pPr>
    </w:p>
    <w:p>
      <w:pPr>
        <w:ind w:right="180" w:firstLine="9"/>
        <w:spacing w:after="0" w:line="260" w:lineRule="auto"/>
        <w:tabs>
          <w:tab w:leader="none" w:pos="234" w:val="left"/>
        </w:tabs>
        <w:numPr>
          <w:ilvl w:val="0"/>
          <w:numId w:val="4"/>
        </w:numPr>
        <w:rPr>
          <w:rFonts w:ascii="Arial" w:cs="Arial" w:eastAsia="Arial" w:hAnsi="Arial"/>
          <w:sz w:val="16"/>
          <w:szCs w:val="16"/>
          <w:color w:val="auto"/>
        </w:rPr>
      </w:pPr>
      <w:r>
        <w:rPr>
          <w:rFonts w:ascii="Arial" w:cs="Arial" w:eastAsia="Arial" w:hAnsi="Arial"/>
          <w:sz w:val="16"/>
          <w:szCs w:val="16"/>
          <w:color w:val="auto"/>
        </w:rPr>
        <w:t>Relates to severance costs associated with the termination of an executive. The $4.1 million expense ($3.4 million after-tax, or $0.03 per diluted share), which is related to our Canadian segment, is included in Selling, general and administrative expenses on the unaudited statements of income.</w:t>
      </w:r>
    </w:p>
    <w:p>
      <w:pPr>
        <w:spacing w:after="0" w:line="330" w:lineRule="exact"/>
        <w:rPr>
          <w:rFonts w:ascii="Arial" w:cs="Arial" w:eastAsia="Arial" w:hAnsi="Arial"/>
          <w:sz w:val="16"/>
          <w:szCs w:val="16"/>
          <w:color w:val="auto"/>
        </w:rPr>
      </w:pPr>
    </w:p>
    <w:p>
      <w:pPr>
        <w:ind w:right="180" w:firstLine="9"/>
        <w:spacing w:after="0" w:line="253" w:lineRule="auto"/>
        <w:tabs>
          <w:tab w:leader="none" w:pos="243" w:val="left"/>
        </w:tabs>
        <w:numPr>
          <w:ilvl w:val="0"/>
          <w:numId w:val="4"/>
        </w:numPr>
        <w:rPr>
          <w:rFonts w:ascii="Arial" w:cs="Arial" w:eastAsia="Arial" w:hAnsi="Arial"/>
          <w:sz w:val="16"/>
          <w:szCs w:val="16"/>
          <w:color w:val="auto"/>
        </w:rPr>
      </w:pPr>
      <w:r>
        <w:rPr>
          <w:rFonts w:ascii="Arial" w:cs="Arial" w:eastAsia="Arial" w:hAnsi="Arial"/>
          <w:sz w:val="16"/>
          <w:szCs w:val="16"/>
          <w:color w:val="auto"/>
        </w:rPr>
        <w:t>Relates to transition costs incurred associated with becoming a stand-alone company. The $1.0 million and $3.5 million in costs ($0.8 million and $2.9 million after-tax, or $0.01 and $0.03 per diluted share, respectively), which are primarily corporate in nature, are included in Spin-off and formation costs on the unaudited statements of income.</w:t>
      </w:r>
    </w:p>
    <w:p>
      <w:pPr>
        <w:spacing w:after="0" w:line="336" w:lineRule="exact"/>
        <w:rPr>
          <w:rFonts w:ascii="Arial" w:cs="Arial" w:eastAsia="Arial" w:hAnsi="Arial"/>
          <w:sz w:val="16"/>
          <w:szCs w:val="16"/>
          <w:color w:val="auto"/>
        </w:rPr>
      </w:pPr>
    </w:p>
    <w:p>
      <w:pPr>
        <w:ind w:right="280" w:firstLine="9"/>
        <w:spacing w:after="0" w:line="260" w:lineRule="auto"/>
        <w:tabs>
          <w:tab w:leader="none" w:pos="243" w:val="left"/>
        </w:tabs>
        <w:numPr>
          <w:ilvl w:val="0"/>
          <w:numId w:val="4"/>
        </w:numPr>
        <w:rPr>
          <w:rFonts w:ascii="Arial" w:cs="Arial" w:eastAsia="Arial" w:hAnsi="Arial"/>
          <w:sz w:val="16"/>
          <w:szCs w:val="16"/>
          <w:color w:val="auto"/>
        </w:rPr>
      </w:pPr>
      <w:r>
        <w:rPr>
          <w:rFonts w:ascii="Arial" w:cs="Arial" w:eastAsia="Arial" w:hAnsi="Arial"/>
          <w:sz w:val="16"/>
          <w:szCs w:val="16"/>
          <w:color w:val="auto"/>
        </w:rPr>
        <w:t>Relates to the reversal of an estimated earnout liability associated with a prior acquisition. The $4 million in income ($3.0 million after-tax, or $0.03 per diluted share), which is related to our U.S. segment is included in Other operating expense on the unaudited statements of income.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SUPPLEMENTAL QUARTERLY SEGMENT AND OPERATING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40" w:type="dxa"/>
            <w:vAlign w:val="bottom"/>
          </w:tcPr>
          <w:p>
            <w:pPr>
              <w:spacing w:after="0"/>
              <w:rPr>
                <w:sz w:val="16"/>
                <w:szCs w:val="16"/>
                <w:color w:val="auto"/>
              </w:rPr>
            </w:pPr>
          </w:p>
        </w:tc>
        <w:tc>
          <w:tcPr>
            <w:tcW w:w="284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rPr>
              <w:t>THREE MONTHS ENDED</w:t>
            </w:r>
          </w:p>
        </w:tc>
        <w:tc>
          <w:tcPr>
            <w:tcW w:w="2580" w:type="dxa"/>
            <w:vAlign w:val="bottom"/>
            <w:gridSpan w:val="3"/>
          </w:tcPr>
          <w:p>
            <w:pPr>
              <w:jc w:val="right"/>
              <w:ind w:right="339"/>
              <w:spacing w:after="0"/>
              <w:rPr>
                <w:sz w:val="20"/>
                <w:szCs w:val="20"/>
                <w:color w:val="auto"/>
              </w:rPr>
            </w:pPr>
            <w:r>
              <w:rPr>
                <w:rFonts w:ascii="Arial" w:cs="Arial" w:eastAsia="Arial" w:hAnsi="Arial"/>
                <w:sz w:val="16"/>
                <w:szCs w:val="16"/>
                <w:b w:val="1"/>
                <w:bCs w:val="1"/>
                <w:color w:val="auto"/>
              </w:rPr>
              <w:t>NINE MONTHS ENDED</w:t>
            </w:r>
          </w:p>
        </w:tc>
      </w:tr>
      <w:tr>
        <w:trPr>
          <w:trHeight w:val="215"/>
        </w:trPr>
        <w:tc>
          <w:tcPr>
            <w:tcW w:w="5840" w:type="dxa"/>
            <w:vAlign w:val="bottom"/>
          </w:tcPr>
          <w:p>
            <w:pPr>
              <w:spacing w:after="0"/>
              <w:rPr>
                <w:sz w:val="18"/>
                <w:szCs w:val="18"/>
                <w:color w:val="auto"/>
              </w:rPr>
            </w:pPr>
          </w:p>
        </w:tc>
        <w:tc>
          <w:tcPr>
            <w:tcW w:w="284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rPr>
              <w:t>SEPTEMBER 30,</w:t>
            </w:r>
          </w:p>
        </w:tc>
        <w:tc>
          <w:tcPr>
            <w:tcW w:w="2580" w:type="dxa"/>
            <w:vAlign w:val="bottom"/>
            <w:gridSpan w:val="3"/>
          </w:tcPr>
          <w:p>
            <w:pPr>
              <w:jc w:val="right"/>
              <w:ind w:right="579"/>
              <w:spacing w:after="0"/>
              <w:rPr>
                <w:sz w:val="20"/>
                <w:szCs w:val="20"/>
                <w:color w:val="auto"/>
              </w:rPr>
            </w:pPr>
            <w:r>
              <w:rPr>
                <w:rFonts w:ascii="Arial" w:cs="Arial" w:eastAsia="Arial" w:hAnsi="Arial"/>
                <w:sz w:val="16"/>
                <w:szCs w:val="16"/>
                <w:b w:val="1"/>
                <w:bCs w:val="1"/>
                <w:color w:val="auto"/>
              </w:rPr>
              <w:t>SEPTEMBER 30,</w:t>
            </w:r>
          </w:p>
        </w:tc>
      </w:tr>
      <w:tr>
        <w:trPr>
          <w:trHeight w:val="263"/>
        </w:trPr>
        <w:tc>
          <w:tcPr>
            <w:tcW w:w="5840" w:type="dxa"/>
            <w:vAlign w:val="bottom"/>
          </w:tcPr>
          <w:p>
            <w:pPr>
              <w:spacing w:after="0"/>
              <w:rPr>
                <w:sz w:val="22"/>
                <w:szCs w:val="22"/>
                <w:color w:val="auto"/>
              </w:rPr>
            </w:pPr>
          </w:p>
        </w:tc>
        <w:tc>
          <w:tcPr>
            <w:tcW w:w="13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2014</w:t>
            </w:r>
          </w:p>
        </w:tc>
        <w:tc>
          <w:tcPr>
            <w:tcW w:w="80" w:type="dxa"/>
            <w:vAlign w:val="bottom"/>
          </w:tcPr>
          <w:p>
            <w:pPr>
              <w:spacing w:after="0"/>
              <w:rPr>
                <w:sz w:val="22"/>
                <w:szCs w:val="22"/>
                <w:color w:val="auto"/>
              </w:rPr>
            </w:pPr>
          </w:p>
        </w:tc>
        <w:tc>
          <w:tcPr>
            <w:tcW w:w="13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2013</w:t>
            </w:r>
          </w:p>
        </w:tc>
        <w:tc>
          <w:tcPr>
            <w:tcW w:w="80" w:type="dxa"/>
            <w:vAlign w:val="bottom"/>
          </w:tcPr>
          <w:p>
            <w:pPr>
              <w:spacing w:after="0"/>
              <w:rPr>
                <w:sz w:val="22"/>
                <w:szCs w:val="22"/>
                <w:color w:val="auto"/>
              </w:rPr>
            </w:pPr>
          </w:p>
        </w:tc>
        <w:tc>
          <w:tcPr>
            <w:tcW w:w="12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2014</w:t>
            </w:r>
          </w:p>
        </w:tc>
        <w:tc>
          <w:tcPr>
            <w:tcW w:w="80" w:type="dxa"/>
            <w:vAlign w:val="bottom"/>
          </w:tcPr>
          <w:p>
            <w:pPr>
              <w:spacing w:after="0"/>
              <w:rPr>
                <w:sz w:val="22"/>
                <w:szCs w:val="22"/>
                <w:color w:val="auto"/>
              </w:rPr>
            </w:pPr>
          </w:p>
        </w:tc>
        <w:tc>
          <w:tcPr>
            <w:tcW w:w="12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2013</w:t>
            </w:r>
          </w:p>
        </w:tc>
      </w:tr>
      <w:tr>
        <w:trPr>
          <w:trHeight w:val="541"/>
        </w:trPr>
        <w:tc>
          <w:tcPr>
            <w:tcW w:w="5840" w:type="dxa"/>
            <w:vAlign w:val="bottom"/>
          </w:tcPr>
          <w:p>
            <w:pPr>
              <w:spacing w:after="0"/>
              <w:rPr>
                <w:sz w:val="20"/>
                <w:szCs w:val="20"/>
                <w:color w:val="auto"/>
              </w:rPr>
            </w:pPr>
            <w:r>
              <w:rPr>
                <w:rFonts w:ascii="Arial" w:cs="Arial" w:eastAsia="Arial" w:hAnsi="Arial"/>
                <w:sz w:val="16"/>
                <w:szCs w:val="16"/>
                <w:b w:val="1"/>
                <w:bCs w:val="1"/>
                <w:color w:val="auto"/>
              </w:rPr>
              <w:t>Supplemental Operating Data - Canadian Segment</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Revenues ($ in thousands)</w:t>
            </w: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5840" w:type="dxa"/>
            <w:vAlign w:val="bottom"/>
          </w:tcPr>
          <w:p>
            <w:pPr>
              <w:ind w:left="220"/>
              <w:spacing w:after="0"/>
              <w:rPr>
                <w:sz w:val="20"/>
                <w:szCs w:val="20"/>
                <w:color w:val="auto"/>
              </w:rPr>
            </w:pPr>
            <w:r>
              <w:rPr>
                <w:rFonts w:ascii="Arial" w:cs="Arial" w:eastAsia="Arial" w:hAnsi="Arial"/>
                <w:sz w:val="16"/>
                <w:szCs w:val="16"/>
                <w:color w:val="auto"/>
              </w:rPr>
              <w:t>Lodge revenues (1)</w:t>
            </w:r>
          </w:p>
        </w:tc>
        <w:tc>
          <w:tcPr>
            <w:tcW w:w="1320" w:type="dxa"/>
            <w:vAlign w:val="bottom"/>
          </w:tcPr>
          <w:p>
            <w:pPr>
              <w:jc w:val="right"/>
              <w:spacing w:after="0"/>
              <w:rPr>
                <w:sz w:val="20"/>
                <w:szCs w:val="20"/>
                <w:color w:val="auto"/>
              </w:rPr>
            </w:pPr>
            <w:r>
              <w:rPr>
                <w:rFonts w:ascii="Arial" w:cs="Arial" w:eastAsia="Arial" w:hAnsi="Arial"/>
                <w:sz w:val="16"/>
                <w:szCs w:val="16"/>
                <w:color w:val="auto"/>
              </w:rPr>
              <w:t>$ 134,600</w:t>
            </w:r>
          </w:p>
        </w:tc>
        <w:tc>
          <w:tcPr>
            <w:tcW w:w="80" w:type="dxa"/>
            <w:vAlign w:val="bottom"/>
          </w:tcPr>
          <w:p>
            <w:pPr>
              <w:spacing w:after="0"/>
              <w:rPr>
                <w:sz w:val="23"/>
                <w:szCs w:val="23"/>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6"/>
                <w:szCs w:val="16"/>
                <w:color w:val="auto"/>
              </w:rPr>
              <w:t>$ 139,357</w:t>
            </w:r>
          </w:p>
        </w:tc>
        <w:tc>
          <w:tcPr>
            <w:tcW w:w="1240" w:type="dxa"/>
            <w:vAlign w:val="bottom"/>
          </w:tcPr>
          <w:p>
            <w:pPr>
              <w:jc w:val="right"/>
              <w:spacing w:after="0"/>
              <w:rPr>
                <w:sz w:val="20"/>
                <w:szCs w:val="20"/>
                <w:color w:val="auto"/>
              </w:rPr>
            </w:pPr>
            <w:r>
              <w:rPr>
                <w:rFonts w:ascii="Arial" w:cs="Arial" w:eastAsia="Arial" w:hAnsi="Arial"/>
                <w:sz w:val="16"/>
                <w:szCs w:val="16"/>
                <w:color w:val="auto"/>
              </w:rPr>
              <w:t>$ 379,700</w:t>
            </w:r>
          </w:p>
        </w:tc>
        <w:tc>
          <w:tcPr>
            <w:tcW w:w="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$ 417,162</w:t>
            </w:r>
          </w:p>
        </w:tc>
      </w:tr>
      <w:tr>
        <w:trPr>
          <w:trHeight w:val="263"/>
        </w:trPr>
        <w:tc>
          <w:tcPr>
            <w:tcW w:w="5840" w:type="dxa"/>
            <w:vAlign w:val="bottom"/>
          </w:tcPr>
          <w:p>
            <w:pPr>
              <w:ind w:left="220"/>
              <w:spacing w:after="0"/>
              <w:rPr>
                <w:sz w:val="20"/>
                <w:szCs w:val="20"/>
                <w:color w:val="auto"/>
              </w:rPr>
            </w:pPr>
            <w:r>
              <w:rPr>
                <w:rFonts w:ascii="Arial" w:cs="Arial" w:eastAsia="Arial" w:hAnsi="Arial"/>
                <w:sz w:val="16"/>
                <w:szCs w:val="16"/>
                <w:color w:val="auto"/>
              </w:rPr>
              <w:t>Mobile, open camp and product revenues</w:t>
            </w:r>
          </w:p>
        </w:tc>
        <w:tc>
          <w:tcPr>
            <w:tcW w:w="1320" w:type="dxa"/>
            <w:vAlign w:val="bottom"/>
          </w:tcPr>
          <w:p>
            <w:pPr>
              <w:jc w:val="right"/>
              <w:spacing w:after="0"/>
              <w:rPr>
                <w:sz w:val="20"/>
                <w:szCs w:val="20"/>
                <w:color w:val="auto"/>
              </w:rPr>
            </w:pPr>
            <w:r>
              <w:rPr>
                <w:rFonts w:ascii="Arial" w:cs="Arial" w:eastAsia="Arial" w:hAnsi="Arial"/>
                <w:sz w:val="16"/>
                <w:szCs w:val="16"/>
                <w:color w:val="auto"/>
              </w:rPr>
              <w:t>39,511</w:t>
            </w:r>
          </w:p>
        </w:tc>
        <w:tc>
          <w:tcPr>
            <w:tcW w:w="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27,850</w:t>
            </w:r>
          </w:p>
        </w:tc>
        <w:tc>
          <w:tcPr>
            <w:tcW w:w="80" w:type="dxa"/>
            <w:vAlign w:val="bottom"/>
          </w:tcPr>
          <w:p>
            <w:pPr>
              <w:spacing w:after="0"/>
              <w:rPr>
                <w:sz w:val="22"/>
                <w:szCs w:val="22"/>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6"/>
                <w:szCs w:val="16"/>
                <w:color w:val="auto"/>
              </w:rPr>
              <w:t>131,214</w:t>
            </w:r>
          </w:p>
        </w:tc>
        <w:tc>
          <w:tcPr>
            <w:tcW w:w="1260" w:type="dxa"/>
            <w:vAlign w:val="bottom"/>
          </w:tcPr>
          <w:p>
            <w:pPr>
              <w:jc w:val="right"/>
              <w:spacing w:after="0"/>
              <w:rPr>
                <w:sz w:val="20"/>
                <w:szCs w:val="20"/>
                <w:color w:val="auto"/>
              </w:rPr>
            </w:pPr>
            <w:r>
              <w:rPr>
                <w:rFonts w:ascii="Arial" w:cs="Arial" w:eastAsia="Arial" w:hAnsi="Arial"/>
                <w:sz w:val="16"/>
                <w:szCs w:val="16"/>
                <w:color w:val="auto"/>
              </w:rPr>
              <w:t>118,648</w:t>
            </w:r>
          </w:p>
        </w:tc>
      </w:tr>
      <w:tr>
        <w:trPr>
          <w:trHeight w:val="271"/>
        </w:trPr>
        <w:tc>
          <w:tcPr>
            <w:tcW w:w="5840" w:type="dxa"/>
            <w:vAlign w:val="bottom"/>
          </w:tcPr>
          <w:p>
            <w:pPr>
              <w:ind w:left="340"/>
              <w:spacing w:after="0"/>
              <w:rPr>
                <w:sz w:val="20"/>
                <w:szCs w:val="20"/>
                <w:color w:val="auto"/>
              </w:rPr>
            </w:pPr>
            <w:r>
              <w:rPr>
                <w:rFonts w:ascii="Arial" w:cs="Arial" w:eastAsia="Arial" w:hAnsi="Arial"/>
                <w:sz w:val="16"/>
                <w:szCs w:val="16"/>
                <w:color w:val="auto"/>
              </w:rPr>
              <w:t>Total Canadian revenues</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$ 174,111</w:t>
            </w:r>
          </w:p>
        </w:tc>
        <w:tc>
          <w:tcPr>
            <w:tcW w:w="80" w:type="dxa"/>
            <w:vAlign w:val="bottom"/>
          </w:tcPr>
          <w:p>
            <w:pPr>
              <w:spacing w:after="0"/>
              <w:rPr>
                <w:sz w:val="23"/>
                <w:szCs w:val="23"/>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$ 167,207</w:t>
            </w:r>
          </w:p>
        </w:tc>
        <w:tc>
          <w:tcPr>
            <w:tcW w:w="80" w:type="dxa"/>
            <w:vAlign w:val="bottom"/>
          </w:tcPr>
          <w:p>
            <w:pPr>
              <w:spacing w:after="0"/>
              <w:rPr>
                <w:sz w:val="23"/>
                <w:szCs w:val="23"/>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$ 510,914</w:t>
            </w:r>
          </w:p>
        </w:tc>
        <w:tc>
          <w:tcPr>
            <w:tcW w:w="80" w:type="dxa"/>
            <w:vAlign w:val="bottom"/>
          </w:tcPr>
          <w:p>
            <w:pPr>
              <w:spacing w:after="0"/>
              <w:rPr>
                <w:sz w:val="23"/>
                <w:szCs w:val="23"/>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$ 535,810</w:t>
            </w:r>
          </w:p>
        </w:tc>
      </w:tr>
      <w:tr>
        <w:trPr>
          <w:trHeight w:val="540"/>
        </w:trPr>
        <w:tc>
          <w:tcPr>
            <w:tcW w:w="5840" w:type="dxa"/>
            <w:vAlign w:val="bottom"/>
          </w:tcPr>
          <w:p>
            <w:pPr>
              <w:ind w:left="220"/>
              <w:spacing w:after="0"/>
              <w:rPr>
                <w:sz w:val="20"/>
                <w:szCs w:val="20"/>
                <w:color w:val="auto"/>
              </w:rPr>
            </w:pPr>
            <w:r>
              <w:rPr>
                <w:rFonts w:ascii="Arial" w:cs="Arial" w:eastAsia="Arial" w:hAnsi="Arial"/>
                <w:sz w:val="16"/>
                <w:szCs w:val="16"/>
                <w:color w:val="auto"/>
              </w:rPr>
              <w:t>Average available lodge rooms (2)</w:t>
            </w:r>
          </w:p>
        </w:tc>
        <w:tc>
          <w:tcPr>
            <w:tcW w:w="1320" w:type="dxa"/>
            <w:vAlign w:val="bottom"/>
          </w:tcPr>
          <w:p>
            <w:pPr>
              <w:jc w:val="right"/>
              <w:spacing w:after="0"/>
              <w:rPr>
                <w:sz w:val="20"/>
                <w:szCs w:val="20"/>
                <w:color w:val="auto"/>
              </w:rPr>
            </w:pPr>
            <w:r>
              <w:rPr>
                <w:rFonts w:ascii="Arial" w:cs="Arial" w:eastAsia="Arial" w:hAnsi="Arial"/>
                <w:sz w:val="16"/>
                <w:szCs w:val="16"/>
                <w:color w:val="auto"/>
              </w:rPr>
              <w:t>13,067</w:t>
            </w:r>
          </w:p>
        </w:tc>
        <w:tc>
          <w:tcPr>
            <w:tcW w:w="80" w:type="dxa"/>
            <w:vAlign w:val="bottom"/>
          </w:tcPr>
          <w:p>
            <w:pPr>
              <w:spacing w:after="0"/>
              <w:rPr>
                <w:sz w:val="24"/>
                <w:szCs w:val="24"/>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6"/>
                <w:szCs w:val="16"/>
                <w:color w:val="auto"/>
              </w:rPr>
              <w:t>11,799</w:t>
            </w:r>
          </w:p>
        </w:tc>
        <w:tc>
          <w:tcPr>
            <w:tcW w:w="1320" w:type="dxa"/>
            <w:vAlign w:val="bottom"/>
            <w:gridSpan w:val="2"/>
          </w:tcPr>
          <w:p>
            <w:pPr>
              <w:jc w:val="right"/>
              <w:ind w:right="80"/>
              <w:spacing w:after="0"/>
              <w:rPr>
                <w:sz w:val="20"/>
                <w:szCs w:val="20"/>
                <w:color w:val="auto"/>
              </w:rPr>
            </w:pPr>
            <w:r>
              <w:rPr>
                <w:rFonts w:ascii="Arial" w:cs="Arial" w:eastAsia="Arial" w:hAnsi="Arial"/>
                <w:sz w:val="16"/>
                <w:szCs w:val="16"/>
                <w:color w:val="auto"/>
              </w:rPr>
              <w:t>12,404</w:t>
            </w:r>
          </w:p>
        </w:tc>
        <w:tc>
          <w:tcPr>
            <w:tcW w:w="1260" w:type="dxa"/>
            <w:vAlign w:val="bottom"/>
          </w:tcPr>
          <w:p>
            <w:pPr>
              <w:jc w:val="right"/>
              <w:spacing w:after="0"/>
              <w:rPr>
                <w:sz w:val="20"/>
                <w:szCs w:val="20"/>
                <w:color w:val="auto"/>
              </w:rPr>
            </w:pPr>
            <w:r>
              <w:rPr>
                <w:rFonts w:ascii="Arial" w:cs="Arial" w:eastAsia="Arial" w:hAnsi="Arial"/>
                <w:sz w:val="16"/>
                <w:szCs w:val="16"/>
                <w:color w:val="auto"/>
              </w:rPr>
              <w:t>11,515</w:t>
            </w:r>
          </w:p>
        </w:tc>
      </w:tr>
      <w:tr>
        <w:trPr>
          <w:trHeight w:val="540"/>
        </w:trPr>
        <w:tc>
          <w:tcPr>
            <w:tcW w:w="5840" w:type="dxa"/>
            <w:vAlign w:val="bottom"/>
          </w:tcPr>
          <w:p>
            <w:pPr>
              <w:ind w:left="220"/>
              <w:spacing w:after="0"/>
              <w:rPr>
                <w:sz w:val="20"/>
                <w:szCs w:val="20"/>
                <w:color w:val="auto"/>
              </w:rPr>
            </w:pPr>
            <w:r>
              <w:rPr>
                <w:rFonts w:ascii="Arial" w:cs="Arial" w:eastAsia="Arial" w:hAnsi="Arial"/>
                <w:sz w:val="16"/>
                <w:szCs w:val="16"/>
                <w:color w:val="auto"/>
              </w:rPr>
              <w:t>RevPAR for lodges (3)</w:t>
            </w:r>
          </w:p>
        </w:tc>
        <w:tc>
          <w:tcPr>
            <w:tcW w:w="1320" w:type="dxa"/>
            <w:vAlign w:val="bottom"/>
          </w:tcPr>
          <w:p>
            <w:pPr>
              <w:jc w:val="right"/>
              <w:spacing w:after="0"/>
              <w:rPr>
                <w:sz w:val="20"/>
                <w:szCs w:val="20"/>
                <w:color w:val="auto"/>
              </w:rPr>
            </w:pPr>
            <w:r>
              <w:rPr>
                <w:rFonts w:ascii="Arial" w:cs="Arial" w:eastAsia="Arial" w:hAnsi="Arial"/>
                <w:sz w:val="16"/>
                <w:szCs w:val="16"/>
                <w:color w:val="auto"/>
              </w:rPr>
              <w:t>$ 112</w:t>
            </w:r>
          </w:p>
        </w:tc>
        <w:tc>
          <w:tcPr>
            <w:tcW w:w="80" w:type="dxa"/>
            <w:vAlign w:val="bottom"/>
          </w:tcPr>
          <w:p>
            <w:pPr>
              <w:spacing w:after="0"/>
              <w:rPr>
                <w:sz w:val="24"/>
                <w:szCs w:val="24"/>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6"/>
                <w:szCs w:val="16"/>
                <w:color w:val="auto"/>
              </w:rPr>
              <w:t>$ 128</w:t>
            </w:r>
          </w:p>
        </w:tc>
        <w:tc>
          <w:tcPr>
            <w:tcW w:w="1320" w:type="dxa"/>
            <w:vAlign w:val="bottom"/>
            <w:gridSpan w:val="2"/>
          </w:tcPr>
          <w:p>
            <w:pPr>
              <w:jc w:val="right"/>
              <w:ind w:right="80"/>
              <w:spacing w:after="0"/>
              <w:rPr>
                <w:sz w:val="20"/>
                <w:szCs w:val="20"/>
                <w:color w:val="auto"/>
              </w:rPr>
            </w:pPr>
            <w:r>
              <w:rPr>
                <w:rFonts w:ascii="Arial" w:cs="Arial" w:eastAsia="Arial" w:hAnsi="Arial"/>
                <w:sz w:val="16"/>
                <w:szCs w:val="16"/>
                <w:color w:val="auto"/>
              </w:rPr>
              <w:t>$ 112</w:t>
            </w:r>
          </w:p>
        </w:tc>
        <w:tc>
          <w:tcPr>
            <w:tcW w:w="1260" w:type="dxa"/>
            <w:vAlign w:val="bottom"/>
          </w:tcPr>
          <w:p>
            <w:pPr>
              <w:jc w:val="right"/>
              <w:spacing w:after="0"/>
              <w:rPr>
                <w:sz w:val="20"/>
                <w:szCs w:val="20"/>
                <w:color w:val="auto"/>
              </w:rPr>
            </w:pPr>
            <w:r>
              <w:rPr>
                <w:rFonts w:ascii="Arial" w:cs="Arial" w:eastAsia="Arial" w:hAnsi="Arial"/>
                <w:sz w:val="16"/>
                <w:szCs w:val="16"/>
                <w:color w:val="auto"/>
              </w:rPr>
              <w:t>$ 133</w:t>
            </w:r>
          </w:p>
        </w:tc>
      </w:tr>
      <w:tr>
        <w:trPr>
          <w:trHeight w:val="540"/>
        </w:trPr>
        <w:tc>
          <w:tcPr>
            <w:tcW w:w="5840" w:type="dxa"/>
            <w:vAlign w:val="bottom"/>
          </w:tcPr>
          <w:p>
            <w:pPr>
              <w:ind w:left="220"/>
              <w:spacing w:after="0"/>
              <w:rPr>
                <w:sz w:val="20"/>
                <w:szCs w:val="20"/>
                <w:color w:val="auto"/>
              </w:rPr>
            </w:pPr>
            <w:r>
              <w:rPr>
                <w:rFonts w:ascii="Arial" w:cs="Arial" w:eastAsia="Arial" w:hAnsi="Arial"/>
                <w:sz w:val="16"/>
                <w:szCs w:val="16"/>
                <w:color w:val="auto"/>
              </w:rPr>
              <w:t>Occupancy in lodges (4)</w:t>
            </w:r>
          </w:p>
        </w:tc>
        <w:tc>
          <w:tcPr>
            <w:tcW w:w="1320" w:type="dxa"/>
            <w:vAlign w:val="bottom"/>
          </w:tcPr>
          <w:p>
            <w:pPr>
              <w:jc w:val="right"/>
              <w:spacing w:after="0"/>
              <w:rPr>
                <w:sz w:val="20"/>
                <w:szCs w:val="20"/>
                <w:color w:val="auto"/>
              </w:rPr>
            </w:pPr>
            <w:r>
              <w:rPr>
                <w:rFonts w:ascii="Arial" w:cs="Arial" w:eastAsia="Arial" w:hAnsi="Arial"/>
                <w:sz w:val="16"/>
                <w:szCs w:val="16"/>
                <w:color w:val="auto"/>
              </w:rPr>
              <w:t>84%</w:t>
            </w:r>
          </w:p>
        </w:tc>
        <w:tc>
          <w:tcPr>
            <w:tcW w:w="80" w:type="dxa"/>
            <w:vAlign w:val="bottom"/>
          </w:tcPr>
          <w:p>
            <w:pPr>
              <w:spacing w:after="0"/>
              <w:rPr>
                <w:sz w:val="24"/>
                <w:szCs w:val="24"/>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6"/>
                <w:szCs w:val="16"/>
                <w:color w:val="auto"/>
              </w:rPr>
              <w:t>92%</w:t>
            </w:r>
          </w:p>
        </w:tc>
        <w:tc>
          <w:tcPr>
            <w:tcW w:w="1240" w:type="dxa"/>
            <w:vAlign w:val="bottom"/>
          </w:tcPr>
          <w:p>
            <w:pPr>
              <w:jc w:val="right"/>
              <w:spacing w:after="0"/>
              <w:rPr>
                <w:sz w:val="20"/>
                <w:szCs w:val="20"/>
                <w:color w:val="auto"/>
              </w:rPr>
            </w:pPr>
            <w:r>
              <w:rPr>
                <w:rFonts w:ascii="Arial" w:cs="Arial" w:eastAsia="Arial" w:hAnsi="Arial"/>
                <w:sz w:val="16"/>
                <w:szCs w:val="16"/>
                <w:color w:val="auto"/>
              </w:rPr>
              <w:t>86%</w:t>
            </w:r>
          </w:p>
        </w:tc>
        <w:tc>
          <w:tcPr>
            <w:tcW w:w="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540"/>
        </w:trPr>
        <w:tc>
          <w:tcPr>
            <w:tcW w:w="5840" w:type="dxa"/>
            <w:vAlign w:val="bottom"/>
          </w:tcPr>
          <w:p>
            <w:pPr>
              <w:ind w:left="220"/>
              <w:spacing w:after="0"/>
              <w:rPr>
                <w:sz w:val="20"/>
                <w:szCs w:val="20"/>
                <w:color w:val="auto"/>
              </w:rPr>
            </w:pPr>
            <w:r>
              <w:rPr>
                <w:rFonts w:ascii="Arial" w:cs="Arial" w:eastAsia="Arial" w:hAnsi="Arial"/>
                <w:sz w:val="16"/>
                <w:szCs w:val="16"/>
                <w:color w:val="auto"/>
              </w:rPr>
              <w:t>Canadian dollar to U.S. dollar</w:t>
            </w:r>
          </w:p>
        </w:tc>
        <w:tc>
          <w:tcPr>
            <w:tcW w:w="1400" w:type="dxa"/>
            <w:vAlign w:val="bottom"/>
            <w:gridSpan w:val="2"/>
          </w:tcPr>
          <w:p>
            <w:pPr>
              <w:jc w:val="right"/>
              <w:ind w:right="80"/>
              <w:spacing w:after="0"/>
              <w:rPr>
                <w:sz w:val="20"/>
                <w:szCs w:val="20"/>
                <w:color w:val="auto"/>
              </w:rPr>
            </w:pPr>
            <w:r>
              <w:rPr>
                <w:rFonts w:ascii="Arial" w:cs="Arial" w:eastAsia="Arial" w:hAnsi="Arial"/>
                <w:sz w:val="16"/>
                <w:szCs w:val="16"/>
                <w:color w:val="auto"/>
              </w:rPr>
              <w:t>$ 0.918</w:t>
            </w:r>
          </w:p>
        </w:tc>
        <w:tc>
          <w:tcPr>
            <w:tcW w:w="1440" w:type="dxa"/>
            <w:vAlign w:val="bottom"/>
            <w:gridSpan w:val="2"/>
          </w:tcPr>
          <w:p>
            <w:pPr>
              <w:jc w:val="right"/>
              <w:ind w:right="80"/>
              <w:spacing w:after="0"/>
              <w:rPr>
                <w:sz w:val="20"/>
                <w:szCs w:val="20"/>
                <w:color w:val="auto"/>
              </w:rPr>
            </w:pPr>
            <w:r>
              <w:rPr>
                <w:rFonts w:ascii="Arial" w:cs="Arial" w:eastAsia="Arial" w:hAnsi="Arial"/>
                <w:sz w:val="16"/>
                <w:szCs w:val="16"/>
                <w:color w:val="auto"/>
              </w:rPr>
              <w:t>$ 0.963</w:t>
            </w:r>
          </w:p>
        </w:tc>
        <w:tc>
          <w:tcPr>
            <w:tcW w:w="1320" w:type="dxa"/>
            <w:vAlign w:val="bottom"/>
            <w:gridSpan w:val="2"/>
          </w:tcPr>
          <w:p>
            <w:pPr>
              <w:jc w:val="right"/>
              <w:ind w:right="80"/>
              <w:spacing w:after="0"/>
              <w:rPr>
                <w:sz w:val="20"/>
                <w:szCs w:val="20"/>
                <w:color w:val="auto"/>
              </w:rPr>
            </w:pPr>
            <w:r>
              <w:rPr>
                <w:rFonts w:ascii="Arial" w:cs="Arial" w:eastAsia="Arial" w:hAnsi="Arial"/>
                <w:sz w:val="16"/>
                <w:szCs w:val="16"/>
                <w:color w:val="auto"/>
              </w:rPr>
              <w:t>$ 0.914</w:t>
            </w:r>
          </w:p>
        </w:tc>
        <w:tc>
          <w:tcPr>
            <w:tcW w:w="1260" w:type="dxa"/>
            <w:vAlign w:val="bottom"/>
          </w:tcPr>
          <w:p>
            <w:pPr>
              <w:jc w:val="right"/>
              <w:spacing w:after="0"/>
              <w:rPr>
                <w:sz w:val="20"/>
                <w:szCs w:val="20"/>
                <w:color w:val="auto"/>
              </w:rPr>
            </w:pPr>
            <w:r>
              <w:rPr>
                <w:rFonts w:ascii="Arial" w:cs="Arial" w:eastAsia="Arial" w:hAnsi="Arial"/>
                <w:sz w:val="16"/>
                <w:szCs w:val="16"/>
                <w:color w:val="auto"/>
              </w:rPr>
              <w:t>$ 0.977</w:t>
            </w:r>
          </w:p>
        </w:tc>
      </w:tr>
    </w:tbl>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Supplemental Operating Data - Australian Segment</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Revenues ($ in thousands)</w:t>
      </w:r>
    </w:p>
    <w:p>
      <w:pPr>
        <w:sectPr>
          <w:pgSz w:w="11900" w:h="16838" w:orient="portrait"/>
          <w:cols w:equalWidth="0" w:num="1">
            <w:col w:w="11260"/>
          </w:cols>
          <w:pgMar w:left="320" w:top="446" w:right="319" w:bottom="0" w:gutter="0" w:footer="0" w:header="0"/>
          <w:type w:val="continuous"/>
        </w:sectPr>
      </w:pPr>
    </w:p>
    <w:bookmarkStart w:id="8" w:name="page9"/>
    <w:bookmarkEnd w:id="8"/>
    <w:tbl>
      <w:tblPr>
        <w:tblLayout w:type="fixed"/>
        <w:tblInd w:w="300" w:type="dxa"/>
        <w:tblCellMar>
          <w:top w:w="0" w:type="dxa"/>
          <w:left w:w="0" w:type="dxa"/>
          <w:bottom w:w="0" w:type="dxa"/>
          <w:right w:w="0" w:type="dxa"/>
        </w:tblCellMar>
      </w:tblPr>
      <w:tr>
        <w:trPr>
          <w:trHeight w:val="195"/>
        </w:trPr>
        <w:tc>
          <w:tcPr>
            <w:tcW w:w="4420" w:type="dxa"/>
            <w:vAlign w:val="bottom"/>
          </w:tcPr>
          <w:p>
            <w:pPr>
              <w:ind w:left="120"/>
              <w:spacing w:after="0"/>
              <w:rPr>
                <w:sz w:val="20"/>
                <w:szCs w:val="20"/>
                <w:color w:val="auto"/>
              </w:rPr>
            </w:pPr>
            <w:r>
              <w:rPr>
                <w:rFonts w:ascii="Arial" w:cs="Arial" w:eastAsia="Arial" w:hAnsi="Arial"/>
                <w:sz w:val="16"/>
                <w:szCs w:val="16"/>
                <w:color w:val="auto"/>
              </w:rPr>
              <w:t>Village revenues (1)</w:t>
            </w:r>
          </w:p>
        </w:tc>
        <w:tc>
          <w:tcPr>
            <w:tcW w:w="2920" w:type="dxa"/>
            <w:vAlign w:val="bottom"/>
          </w:tcPr>
          <w:p>
            <w:pPr>
              <w:jc w:val="right"/>
              <w:ind w:right="319"/>
              <w:spacing w:after="0"/>
              <w:rPr>
                <w:sz w:val="20"/>
                <w:szCs w:val="20"/>
                <w:color w:val="auto"/>
              </w:rPr>
            </w:pPr>
            <w:r>
              <w:rPr>
                <w:rFonts w:ascii="Arial" w:cs="Arial" w:eastAsia="Arial" w:hAnsi="Arial"/>
                <w:sz w:val="16"/>
                <w:szCs w:val="16"/>
                <w:color w:val="auto"/>
              </w:rPr>
              <w:t>$ 54,000</w:t>
            </w:r>
          </w:p>
        </w:tc>
        <w:tc>
          <w:tcPr>
            <w:tcW w:w="1340" w:type="dxa"/>
            <w:vAlign w:val="bottom"/>
          </w:tcPr>
          <w:p>
            <w:pPr>
              <w:jc w:val="right"/>
              <w:ind w:right="219"/>
              <w:spacing w:after="0"/>
              <w:rPr>
                <w:sz w:val="20"/>
                <w:szCs w:val="20"/>
                <w:color w:val="auto"/>
              </w:rPr>
            </w:pPr>
            <w:r>
              <w:rPr>
                <w:rFonts w:ascii="Arial" w:cs="Arial" w:eastAsia="Arial" w:hAnsi="Arial"/>
                <w:sz w:val="16"/>
                <w:szCs w:val="16"/>
                <w:color w:val="auto"/>
              </w:rPr>
              <w:t>$ 59,738</w:t>
            </w: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$ 163,847</w:t>
            </w:r>
          </w:p>
        </w:tc>
        <w:tc>
          <w:tcPr>
            <w:tcW w:w="1020" w:type="dxa"/>
            <w:vAlign w:val="bottom"/>
          </w:tcPr>
          <w:p>
            <w:pPr>
              <w:jc w:val="right"/>
              <w:spacing w:after="0"/>
              <w:rPr>
                <w:sz w:val="20"/>
                <w:szCs w:val="20"/>
                <w:color w:val="auto"/>
              </w:rPr>
            </w:pPr>
            <w:r>
              <w:rPr>
                <w:rFonts w:ascii="Arial" w:cs="Arial" w:eastAsia="Arial" w:hAnsi="Arial"/>
                <w:sz w:val="16"/>
                <w:szCs w:val="16"/>
                <w:color w:val="auto"/>
              </w:rPr>
              <w:t>$ 191,510</w:t>
            </w:r>
          </w:p>
        </w:tc>
      </w:tr>
      <w:tr>
        <w:trPr>
          <w:trHeight w:val="540"/>
        </w:trPr>
        <w:tc>
          <w:tcPr>
            <w:tcW w:w="4420" w:type="dxa"/>
            <w:vAlign w:val="bottom"/>
          </w:tcPr>
          <w:p>
            <w:pPr>
              <w:spacing w:after="0"/>
              <w:rPr>
                <w:sz w:val="20"/>
                <w:szCs w:val="20"/>
                <w:color w:val="auto"/>
              </w:rPr>
            </w:pPr>
            <w:r>
              <w:rPr>
                <w:rFonts w:ascii="Arial" w:cs="Arial" w:eastAsia="Arial" w:hAnsi="Arial"/>
                <w:sz w:val="16"/>
                <w:szCs w:val="16"/>
                <w:color w:val="auto"/>
              </w:rPr>
              <w:t>Average available village rooms (2)</w:t>
            </w:r>
          </w:p>
        </w:tc>
        <w:tc>
          <w:tcPr>
            <w:tcW w:w="2920" w:type="dxa"/>
            <w:vAlign w:val="bottom"/>
          </w:tcPr>
          <w:p>
            <w:pPr>
              <w:jc w:val="right"/>
              <w:ind w:right="319"/>
              <w:spacing w:after="0"/>
              <w:rPr>
                <w:sz w:val="20"/>
                <w:szCs w:val="20"/>
                <w:color w:val="auto"/>
              </w:rPr>
            </w:pPr>
            <w:r>
              <w:rPr>
                <w:rFonts w:ascii="Arial" w:cs="Arial" w:eastAsia="Arial" w:hAnsi="Arial"/>
                <w:sz w:val="16"/>
                <w:szCs w:val="16"/>
                <w:color w:val="auto"/>
              </w:rPr>
              <w:t>9,269</w:t>
            </w:r>
          </w:p>
        </w:tc>
        <w:tc>
          <w:tcPr>
            <w:tcW w:w="1340" w:type="dxa"/>
            <w:vAlign w:val="bottom"/>
          </w:tcPr>
          <w:p>
            <w:pPr>
              <w:jc w:val="right"/>
              <w:ind w:right="219"/>
              <w:spacing w:after="0"/>
              <w:rPr>
                <w:sz w:val="20"/>
                <w:szCs w:val="20"/>
                <w:color w:val="auto"/>
              </w:rPr>
            </w:pPr>
            <w:r>
              <w:rPr>
                <w:rFonts w:ascii="Arial" w:cs="Arial" w:eastAsia="Arial" w:hAnsi="Arial"/>
                <w:sz w:val="16"/>
                <w:szCs w:val="16"/>
                <w:color w:val="auto"/>
              </w:rPr>
              <w:t>9,116</w:t>
            </w: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9,263</w:t>
            </w:r>
          </w:p>
        </w:tc>
        <w:tc>
          <w:tcPr>
            <w:tcW w:w="1020" w:type="dxa"/>
            <w:vAlign w:val="bottom"/>
          </w:tcPr>
          <w:p>
            <w:pPr>
              <w:jc w:val="right"/>
              <w:spacing w:after="0"/>
              <w:rPr>
                <w:sz w:val="20"/>
                <w:szCs w:val="20"/>
                <w:color w:val="auto"/>
              </w:rPr>
            </w:pPr>
            <w:r>
              <w:rPr>
                <w:rFonts w:ascii="Arial" w:cs="Arial" w:eastAsia="Arial" w:hAnsi="Arial"/>
                <w:sz w:val="16"/>
                <w:szCs w:val="16"/>
                <w:color w:val="auto"/>
              </w:rPr>
              <w:t>8,818</w:t>
            </w:r>
          </w:p>
        </w:tc>
      </w:tr>
      <w:tr>
        <w:trPr>
          <w:trHeight w:val="540"/>
        </w:trPr>
        <w:tc>
          <w:tcPr>
            <w:tcW w:w="4420" w:type="dxa"/>
            <w:vAlign w:val="bottom"/>
          </w:tcPr>
          <w:p>
            <w:pPr>
              <w:spacing w:after="0"/>
              <w:rPr>
                <w:sz w:val="20"/>
                <w:szCs w:val="20"/>
                <w:color w:val="auto"/>
              </w:rPr>
            </w:pPr>
            <w:r>
              <w:rPr>
                <w:rFonts w:ascii="Arial" w:cs="Arial" w:eastAsia="Arial" w:hAnsi="Arial"/>
                <w:sz w:val="16"/>
                <w:szCs w:val="16"/>
                <w:color w:val="auto"/>
              </w:rPr>
              <w:t>RevPAR for villages (3)</w:t>
            </w:r>
          </w:p>
        </w:tc>
        <w:tc>
          <w:tcPr>
            <w:tcW w:w="2920" w:type="dxa"/>
            <w:vAlign w:val="bottom"/>
          </w:tcPr>
          <w:p>
            <w:pPr>
              <w:jc w:val="right"/>
              <w:ind w:right="319"/>
              <w:spacing w:after="0"/>
              <w:rPr>
                <w:sz w:val="20"/>
                <w:szCs w:val="20"/>
                <w:color w:val="auto"/>
              </w:rPr>
            </w:pPr>
            <w:r>
              <w:rPr>
                <w:rFonts w:ascii="Arial" w:cs="Arial" w:eastAsia="Arial" w:hAnsi="Arial"/>
                <w:sz w:val="16"/>
                <w:szCs w:val="16"/>
                <w:color w:val="auto"/>
              </w:rPr>
              <w:t>$ 63</w:t>
            </w:r>
          </w:p>
        </w:tc>
        <w:tc>
          <w:tcPr>
            <w:tcW w:w="1340" w:type="dxa"/>
            <w:vAlign w:val="bottom"/>
          </w:tcPr>
          <w:p>
            <w:pPr>
              <w:jc w:val="right"/>
              <w:ind w:right="219"/>
              <w:spacing w:after="0"/>
              <w:rPr>
                <w:sz w:val="20"/>
                <w:szCs w:val="20"/>
                <w:color w:val="auto"/>
              </w:rPr>
            </w:pPr>
            <w:r>
              <w:rPr>
                <w:rFonts w:ascii="Arial" w:cs="Arial" w:eastAsia="Arial" w:hAnsi="Arial"/>
                <w:sz w:val="16"/>
                <w:szCs w:val="16"/>
                <w:color w:val="auto"/>
              </w:rPr>
              <w:t>$ 71</w:t>
            </w: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$ 65</w:t>
            </w:r>
          </w:p>
        </w:tc>
        <w:tc>
          <w:tcPr>
            <w:tcW w:w="1020" w:type="dxa"/>
            <w:vAlign w:val="bottom"/>
          </w:tcPr>
          <w:p>
            <w:pPr>
              <w:jc w:val="right"/>
              <w:spacing w:after="0"/>
              <w:rPr>
                <w:sz w:val="20"/>
                <w:szCs w:val="20"/>
                <w:color w:val="auto"/>
              </w:rPr>
            </w:pPr>
            <w:r>
              <w:rPr>
                <w:rFonts w:ascii="Arial" w:cs="Arial" w:eastAsia="Arial" w:hAnsi="Arial"/>
                <w:sz w:val="16"/>
                <w:szCs w:val="16"/>
                <w:color w:val="auto"/>
              </w:rPr>
              <w:t>$ 80</w:t>
            </w:r>
          </w:p>
        </w:tc>
      </w:tr>
      <w:tr>
        <w:trPr>
          <w:trHeight w:val="540"/>
        </w:trPr>
        <w:tc>
          <w:tcPr>
            <w:tcW w:w="4420" w:type="dxa"/>
            <w:vAlign w:val="bottom"/>
          </w:tcPr>
          <w:p>
            <w:pPr>
              <w:spacing w:after="0"/>
              <w:rPr>
                <w:sz w:val="20"/>
                <w:szCs w:val="20"/>
                <w:color w:val="auto"/>
              </w:rPr>
            </w:pPr>
            <w:r>
              <w:rPr>
                <w:rFonts w:ascii="Arial" w:cs="Arial" w:eastAsia="Arial" w:hAnsi="Arial"/>
                <w:sz w:val="16"/>
                <w:szCs w:val="16"/>
                <w:color w:val="auto"/>
              </w:rPr>
              <w:t>Occupancy in villages (4)</w:t>
            </w:r>
          </w:p>
        </w:tc>
        <w:tc>
          <w:tcPr>
            <w:tcW w:w="2920" w:type="dxa"/>
            <w:vAlign w:val="bottom"/>
          </w:tcPr>
          <w:p>
            <w:pPr>
              <w:jc w:val="right"/>
              <w:ind w:right="319"/>
              <w:spacing w:after="0"/>
              <w:rPr>
                <w:sz w:val="20"/>
                <w:szCs w:val="20"/>
                <w:color w:val="auto"/>
              </w:rPr>
            </w:pPr>
            <w:r>
              <w:rPr>
                <w:rFonts w:ascii="Arial" w:cs="Arial" w:eastAsia="Arial" w:hAnsi="Arial"/>
                <w:sz w:val="16"/>
                <w:szCs w:val="16"/>
                <w:color w:val="auto"/>
              </w:rPr>
              <w:t>65%</w:t>
            </w:r>
          </w:p>
        </w:tc>
        <w:tc>
          <w:tcPr>
            <w:tcW w:w="1340" w:type="dxa"/>
            <w:vAlign w:val="bottom"/>
          </w:tcPr>
          <w:p>
            <w:pPr>
              <w:jc w:val="right"/>
              <w:ind w:right="219"/>
              <w:spacing w:after="0"/>
              <w:rPr>
                <w:sz w:val="20"/>
                <w:szCs w:val="20"/>
                <w:color w:val="auto"/>
              </w:rPr>
            </w:pPr>
            <w:r>
              <w:rPr>
                <w:rFonts w:ascii="Arial" w:cs="Arial" w:eastAsia="Arial" w:hAnsi="Arial"/>
                <w:sz w:val="16"/>
                <w:szCs w:val="16"/>
                <w:color w:val="auto"/>
              </w:rPr>
              <w:t>80%</w:t>
            </w: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69%</w:t>
            </w:r>
          </w:p>
        </w:tc>
        <w:tc>
          <w:tcPr>
            <w:tcW w:w="102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540"/>
        </w:trPr>
        <w:tc>
          <w:tcPr>
            <w:tcW w:w="4420" w:type="dxa"/>
            <w:vAlign w:val="bottom"/>
          </w:tcPr>
          <w:p>
            <w:pPr>
              <w:spacing w:after="0"/>
              <w:rPr>
                <w:sz w:val="20"/>
                <w:szCs w:val="20"/>
                <w:color w:val="auto"/>
              </w:rPr>
            </w:pPr>
            <w:r>
              <w:rPr>
                <w:rFonts w:ascii="Arial" w:cs="Arial" w:eastAsia="Arial" w:hAnsi="Arial"/>
                <w:sz w:val="16"/>
                <w:szCs w:val="16"/>
                <w:color w:val="auto"/>
              </w:rPr>
              <w:t>Australian dollar to U.S. dollar</w:t>
            </w:r>
          </w:p>
        </w:tc>
        <w:tc>
          <w:tcPr>
            <w:tcW w:w="2920" w:type="dxa"/>
            <w:vAlign w:val="bottom"/>
          </w:tcPr>
          <w:p>
            <w:pPr>
              <w:jc w:val="right"/>
              <w:ind w:right="319"/>
              <w:spacing w:after="0"/>
              <w:rPr>
                <w:sz w:val="20"/>
                <w:szCs w:val="20"/>
                <w:color w:val="auto"/>
              </w:rPr>
            </w:pPr>
            <w:r>
              <w:rPr>
                <w:rFonts w:ascii="Arial" w:cs="Arial" w:eastAsia="Arial" w:hAnsi="Arial"/>
                <w:sz w:val="16"/>
                <w:szCs w:val="16"/>
                <w:color w:val="auto"/>
              </w:rPr>
              <w:t>$ 0.924</w:t>
            </w:r>
          </w:p>
        </w:tc>
        <w:tc>
          <w:tcPr>
            <w:tcW w:w="1340" w:type="dxa"/>
            <w:vAlign w:val="bottom"/>
          </w:tcPr>
          <w:p>
            <w:pPr>
              <w:jc w:val="right"/>
              <w:ind w:right="219"/>
              <w:spacing w:after="0"/>
              <w:rPr>
                <w:sz w:val="20"/>
                <w:szCs w:val="20"/>
                <w:color w:val="auto"/>
              </w:rPr>
            </w:pPr>
            <w:r>
              <w:rPr>
                <w:rFonts w:ascii="Arial" w:cs="Arial" w:eastAsia="Arial" w:hAnsi="Arial"/>
                <w:sz w:val="16"/>
                <w:szCs w:val="16"/>
                <w:color w:val="auto"/>
              </w:rPr>
              <w:t>$ 0.917</w:t>
            </w: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$ 0.918</w:t>
            </w:r>
          </w:p>
        </w:tc>
        <w:tc>
          <w:tcPr>
            <w:tcW w:w="1020" w:type="dxa"/>
            <w:vAlign w:val="bottom"/>
          </w:tcPr>
          <w:p>
            <w:pPr>
              <w:jc w:val="right"/>
              <w:spacing w:after="0"/>
              <w:rPr>
                <w:sz w:val="20"/>
                <w:szCs w:val="20"/>
                <w:color w:val="auto"/>
              </w:rPr>
            </w:pPr>
            <w:r>
              <w:rPr>
                <w:rFonts w:ascii="Arial" w:cs="Arial" w:eastAsia="Arial" w:hAnsi="Arial"/>
                <w:sz w:val="16"/>
                <w:szCs w:val="16"/>
                <w:color w:val="auto"/>
              </w:rPr>
              <w:t>$ 0.982</w:t>
            </w: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80" w:hanging="291"/>
        <w:spacing w:after="0"/>
        <w:tabs>
          <w:tab w:leader="none" w:pos="38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revenue related to rooms as well as the fees associated with catering, laundry and other services including facilities management.</w:t>
      </w:r>
    </w:p>
    <w:p>
      <w:pPr>
        <w:spacing w:after="0" w:line="356" w:lineRule="exact"/>
        <w:rPr>
          <w:rFonts w:ascii="Arial" w:cs="Arial" w:eastAsia="Arial" w:hAnsi="Arial"/>
          <w:sz w:val="16"/>
          <w:szCs w:val="16"/>
          <w:color w:val="auto"/>
        </w:rPr>
      </w:pPr>
    </w:p>
    <w:p>
      <w:pPr>
        <w:ind w:left="380" w:hanging="291"/>
        <w:spacing w:after="0"/>
        <w:tabs>
          <w:tab w:leader="none" w:pos="3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Average available rooms include rooms that are utilized for our personnel.</w:t>
      </w:r>
    </w:p>
    <w:p>
      <w:pPr>
        <w:spacing w:after="0" w:line="356" w:lineRule="exact"/>
        <w:rPr>
          <w:rFonts w:ascii="Arial" w:cs="Arial" w:eastAsia="Arial" w:hAnsi="Arial"/>
          <w:sz w:val="16"/>
          <w:szCs w:val="16"/>
          <w:color w:val="auto"/>
        </w:rPr>
      </w:pPr>
    </w:p>
    <w:p>
      <w:pPr>
        <w:ind w:left="80" w:right="20" w:firstLine="9"/>
        <w:spacing w:after="0" w:line="260" w:lineRule="auto"/>
        <w:tabs>
          <w:tab w:leader="none" w:pos="368" w:val="left"/>
        </w:tabs>
        <w:numPr>
          <w:ilvl w:val="0"/>
          <w:numId w:val="5"/>
        </w:numPr>
        <w:rPr>
          <w:rFonts w:ascii="Arial" w:cs="Arial" w:eastAsia="Arial" w:hAnsi="Arial"/>
          <w:sz w:val="16"/>
          <w:szCs w:val="16"/>
          <w:color w:val="auto"/>
        </w:rPr>
      </w:pPr>
      <w:r>
        <w:rPr>
          <w:rFonts w:ascii="Arial" w:cs="Arial" w:eastAsia="Arial" w:hAnsi="Arial"/>
          <w:sz w:val="16"/>
          <w:szCs w:val="16"/>
          <w:color w:val="auto"/>
        </w:rPr>
        <w:t>RevPAR, or revenue per available room, is defined as lodge revenue divided by the product of (a) average available rooms and (b) days in the period. An available room is defined as a calendar day during which the room is available for occupancy.</w:t>
      </w:r>
    </w:p>
    <w:p>
      <w:pPr>
        <w:spacing w:after="0" w:line="330" w:lineRule="exact"/>
        <w:rPr>
          <w:rFonts w:ascii="Arial" w:cs="Arial" w:eastAsia="Arial" w:hAnsi="Arial"/>
          <w:sz w:val="16"/>
          <w:szCs w:val="16"/>
          <w:color w:val="auto"/>
        </w:rPr>
      </w:pPr>
    </w:p>
    <w:p>
      <w:pPr>
        <w:ind w:left="380" w:hanging="291"/>
        <w:spacing w:after="0"/>
        <w:tabs>
          <w:tab w:leader="none" w:pos="380" w:val="left"/>
        </w:tabs>
        <w:numPr>
          <w:ilvl w:val="0"/>
          <w:numId w:val="5"/>
        </w:numPr>
        <w:rPr>
          <w:rFonts w:ascii="Arial" w:cs="Arial" w:eastAsia="Arial" w:hAnsi="Arial"/>
          <w:sz w:val="16"/>
          <w:szCs w:val="16"/>
          <w:color w:val="auto"/>
        </w:rPr>
      </w:pPr>
      <w:r>
        <w:rPr>
          <w:rFonts w:ascii="Arial" w:cs="Arial" w:eastAsia="Arial" w:hAnsi="Arial"/>
          <w:sz w:val="16"/>
          <w:szCs w:val="16"/>
          <w:color w:val="auto"/>
        </w:rPr>
        <w:t>Occupancy represents total billed days divided by rentable days. Rentable days excludes staff rooms and out of service rooms.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 Company Contact:</w:t>
      </w:r>
    </w:p>
    <w:p>
      <w:pPr>
        <w:ind w:left="960"/>
        <w:spacing w:after="0" w:line="238" w:lineRule="auto"/>
        <w:rPr>
          <w:sz w:val="20"/>
          <w:szCs w:val="20"/>
          <w:color w:val="auto"/>
        </w:rPr>
      </w:pPr>
      <w:r>
        <w:rPr>
          <w:rFonts w:ascii="Courier New" w:cs="Courier New" w:eastAsia="Courier New" w:hAnsi="Courier New"/>
          <w:sz w:val="18"/>
          <w:szCs w:val="18"/>
          <w:color w:val="auto"/>
        </w:rPr>
        <w:t>Frank C. Steininger</w:t>
      </w:r>
    </w:p>
    <w:p>
      <w:pPr>
        <w:ind w:left="960"/>
        <w:spacing w:after="0"/>
        <w:rPr>
          <w:sz w:val="20"/>
          <w:szCs w:val="20"/>
          <w:color w:val="auto"/>
        </w:rPr>
      </w:pPr>
      <w:r>
        <w:rPr>
          <w:rFonts w:ascii="Courier New" w:cs="Courier New" w:eastAsia="Courier New" w:hAnsi="Courier New"/>
          <w:sz w:val="18"/>
          <w:szCs w:val="18"/>
          <w:color w:val="auto"/>
        </w:rPr>
        <w:t>Civeo Corporation</w:t>
      </w:r>
    </w:p>
    <w:p>
      <w:pPr>
        <w:ind w:left="960"/>
        <w:spacing w:after="0" w:line="237" w:lineRule="auto"/>
        <w:rPr>
          <w:sz w:val="20"/>
          <w:szCs w:val="20"/>
          <w:color w:val="auto"/>
        </w:rPr>
      </w:pPr>
      <w:r>
        <w:rPr>
          <w:rFonts w:ascii="Courier New" w:cs="Courier New" w:eastAsia="Courier New" w:hAnsi="Courier New"/>
          <w:sz w:val="18"/>
          <w:szCs w:val="18"/>
          <w:color w:val="auto"/>
        </w:rPr>
        <w:t>Senior Vice President and Chief Financial Officer</w:t>
      </w:r>
    </w:p>
    <w:p>
      <w:pPr>
        <w:ind w:left="960"/>
        <w:spacing w:after="0" w:line="238" w:lineRule="auto"/>
        <w:rPr>
          <w:sz w:val="20"/>
          <w:szCs w:val="20"/>
          <w:color w:val="auto"/>
        </w:rPr>
      </w:pPr>
      <w:r>
        <w:rPr>
          <w:rFonts w:ascii="Courier New" w:cs="Courier New" w:eastAsia="Courier New" w:hAnsi="Courier New"/>
          <w:sz w:val="18"/>
          <w:szCs w:val="18"/>
          <w:color w:val="auto"/>
        </w:rPr>
        <w:t>713-510-2400</w:t>
      </w:r>
    </w:p>
    <w:sectPr>
      <w:pgSz w:w="11900" w:h="16838" w:orient="portrait"/>
      <w:cols w:equalWidth="0" w:num="1">
        <w:col w:w="11340"/>
      </w:cols>
      <w:pgMar w:left="240" w:top="14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Letter"/>
      <w:start w:val="4"/>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2019-12-08T08:12:57Z</dcterms:created>
  <dcterms:modified xsi:type="dcterms:W3CDTF">2019-12-08T08:12:57Z</dcterms:modified>
</cp:coreProperties>
</file>